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2A69F6" w:rsidP="00C65CB2">
      <w:pPr>
        <w:pStyle w:val="Heading1"/>
        <w:spacing w:before="0" w:after="0"/>
        <w:jc w:val="center"/>
        <w:rPr>
          <w:rFonts w:ascii="Arial" w:hAnsi="Arial" w:cs="Arial"/>
          <w:i/>
          <w:sz w:val="72"/>
          <w:szCs w:val="72"/>
          <w:lang w:val="en-GB"/>
        </w:rPr>
      </w:pPr>
      <w:r w:rsidRPr="002A69F6">
        <w:rPr>
          <w:rFonts w:ascii="Arial" w:hAnsi="Arial" w:cs="Arial"/>
          <w:i/>
          <w:sz w:val="72"/>
          <w:szCs w:val="72"/>
          <w:highlight w:val="yellow"/>
          <w:lang w:val="en-GB"/>
        </w:rPr>
        <w:t>[</w:t>
      </w:r>
      <w:proofErr w:type="gramStart"/>
      <w:r w:rsidRPr="002A69F6">
        <w:rPr>
          <w:rFonts w:ascii="Arial" w:hAnsi="Arial" w:cs="Arial"/>
          <w:i/>
          <w:sz w:val="72"/>
          <w:szCs w:val="72"/>
          <w:highlight w:val="yellow"/>
          <w:lang w:val="en-GB"/>
        </w:rPr>
        <w:t>insert</w:t>
      </w:r>
      <w:proofErr w:type="gramEnd"/>
      <w:r w:rsidRPr="002A69F6">
        <w:rPr>
          <w:rFonts w:ascii="Arial" w:hAnsi="Arial" w:cs="Arial"/>
          <w:i/>
          <w:sz w:val="72"/>
          <w:szCs w:val="72"/>
          <w:highlight w:val="yellow"/>
          <w:lang w:val="en-GB"/>
        </w:rPr>
        <w:t xml:space="preserve"> name of </w:t>
      </w:r>
      <w:r w:rsidR="004C553E">
        <w:rPr>
          <w:rFonts w:ascii="Arial" w:hAnsi="Arial" w:cs="Arial"/>
          <w:i/>
          <w:sz w:val="72"/>
          <w:szCs w:val="72"/>
          <w:highlight w:val="yellow"/>
          <w:lang w:val="en-GB"/>
        </w:rPr>
        <w:t>club</w:t>
      </w:r>
      <w:r w:rsidRPr="002A69F6">
        <w:rPr>
          <w:rFonts w:ascii="Arial" w:hAnsi="Arial" w:cs="Arial"/>
          <w:i/>
          <w:sz w:val="72"/>
          <w:szCs w:val="72"/>
          <w:highlight w:val="yellow"/>
          <w:lang w:val="en-GB"/>
        </w:rPr>
        <w:t>]</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Pr="003602ED">
        <w:rPr>
          <w:rFonts w:ascii="Arial" w:hAnsi="Arial" w:cs="Arial"/>
          <w:sz w:val="22"/>
          <w:szCs w:val="22"/>
          <w:highlight w:val="yellow"/>
          <w:lang w:val="en-GB"/>
        </w:rPr>
        <w:t>[</w:t>
      </w:r>
      <w:r w:rsidRPr="003602ED">
        <w:rPr>
          <w:rFonts w:ascii="Arial" w:hAnsi="Arial" w:cs="Arial"/>
          <w:i/>
          <w:sz w:val="22"/>
          <w:szCs w:val="22"/>
          <w:highlight w:val="yellow"/>
          <w:lang w:val="en-GB"/>
        </w:rPr>
        <w:t>name of club</w:t>
      </w:r>
      <w:r w:rsidRPr="003602ED">
        <w:rPr>
          <w:rFonts w:ascii="Arial" w:hAnsi="Arial" w:cs="Arial"/>
          <w:sz w:val="22"/>
          <w:szCs w:val="22"/>
          <w:highlight w:val="yellow"/>
          <w:lang w:val="en-GB"/>
        </w:rPr>
        <w:t>]</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Pr="002A69F6">
        <w:rPr>
          <w:rFonts w:ascii="Arial" w:hAnsi="Arial" w:cs="Arial"/>
          <w:i/>
          <w:sz w:val="22"/>
          <w:szCs w:val="22"/>
          <w:highlight w:val="yellow"/>
        </w:rPr>
        <w:t>[add/amend list]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673FF9">
        <w:rPr>
          <w:rFonts w:ascii="Arial" w:hAnsi="Arial" w:cs="Arial"/>
          <w:i/>
          <w:sz w:val="22"/>
          <w:szCs w:val="22"/>
          <w:highlight w:val="yellow"/>
        </w:rPr>
        <w:t>[or other – name role]</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5" w:history="1">
        <w:proofErr w:type="gramStart"/>
        <w:r w:rsidRPr="003E1A2B">
          <w:rPr>
            <w:rStyle w:val="Hyperlink"/>
            <w:rFonts w:ascii="Arial" w:hAnsi="Arial" w:cs="Arial"/>
            <w:i/>
            <w:sz w:val="22"/>
            <w:szCs w:val="22"/>
            <w:highlight w:val="yellow"/>
            <w:lang w:val="en-GB"/>
          </w:rPr>
          <w:t>What’s</w:t>
        </w:r>
        <w:proofErr w:type="gramEnd"/>
        <w:r w:rsidRPr="003E1A2B">
          <w:rPr>
            <w:rStyle w:val="Hyperlink"/>
            <w:rFonts w:ascii="Arial" w:hAnsi="Arial" w:cs="Arial"/>
            <w:i/>
            <w:sz w:val="22"/>
            <w:szCs w:val="22"/>
            <w:highlight w:val="yellow"/>
            <w:lang w:val="en-GB"/>
          </w:rPr>
          <w:t xml:space="preserve"> the Score toolkit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Pr="0079576A">
        <w:rPr>
          <w:rFonts w:ascii="Arial" w:hAnsi="Arial" w:cs="Arial"/>
          <w:i/>
          <w:sz w:val="22"/>
          <w:szCs w:val="22"/>
          <w:highlight w:val="yellow"/>
        </w:rPr>
        <w:t>[insert contact details]</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44160A">
      <w:pPr>
        <w:pStyle w:val="ListParagraph"/>
        <w:numPr>
          <w:ilvl w:val="0"/>
          <w:numId w:val="8"/>
        </w:numPr>
        <w:jc w:val="both"/>
        <w:rPr>
          <w:rStyle w:val="A10"/>
          <w:rFonts w:ascii="Arial" w:hAnsi="Arial" w:cs="Arial"/>
          <w:bCs w:val="0"/>
          <w:color w:val="auto"/>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w:t>
      </w:r>
      <w:r w:rsidR="00347FD5">
        <w:rPr>
          <w:rFonts w:ascii="Arial" w:hAnsi="Arial" w:cs="Arial"/>
          <w:i/>
          <w:sz w:val="22"/>
          <w:szCs w:val="22"/>
          <w:highlight w:val="yellow"/>
        </w:rPr>
        <w:t xml:space="preserve">or remove </w:t>
      </w:r>
      <w:r>
        <w:rPr>
          <w:rFonts w:ascii="Arial" w:hAnsi="Arial" w:cs="Arial"/>
          <w:i/>
          <w:sz w:val="22"/>
          <w:szCs w:val="22"/>
          <w:highlight w:val="yellow"/>
        </w:rPr>
        <w:t>points</w:t>
      </w:r>
      <w:r w:rsidRPr="00D811EA">
        <w:rPr>
          <w:rFonts w:ascii="Arial" w:hAnsi="Arial" w:cs="Arial"/>
          <w:i/>
          <w:sz w:val="22"/>
          <w:szCs w:val="22"/>
          <w:highlight w:val="yellow"/>
        </w:rPr>
        <w:t xml:space="preserve"> as required]</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347FD5">
      <w:pPr>
        <w:pStyle w:val="ListParagraph"/>
        <w:numPr>
          <w:ilvl w:val="0"/>
          <w:numId w:val="8"/>
        </w:numPr>
        <w:jc w:val="both"/>
        <w:rPr>
          <w:rStyle w:val="A10"/>
          <w:rFonts w:ascii="Arial" w:hAnsi="Arial" w:cs="Arial"/>
          <w:bCs w:val="0"/>
          <w:color w:val="auto"/>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or remove points</w:t>
      </w:r>
      <w:r w:rsidRPr="00D811EA">
        <w:rPr>
          <w:rFonts w:ascii="Arial" w:hAnsi="Arial" w:cs="Arial"/>
          <w:i/>
          <w:sz w:val="22"/>
          <w:szCs w:val="22"/>
          <w:highlight w:val="yellow"/>
        </w:rPr>
        <w:t xml:space="preserve"> as required]</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0A340D">
      <w:pPr>
        <w:pStyle w:val="ListParagraph"/>
        <w:numPr>
          <w:ilvl w:val="0"/>
          <w:numId w:val="20"/>
        </w:numPr>
        <w:jc w:val="both"/>
        <w:rPr>
          <w:rFonts w:ascii="Arial" w:hAnsi="Arial" w:cs="Arial"/>
          <w:b/>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or remove points</w:t>
      </w:r>
      <w:r w:rsidRPr="00D811EA">
        <w:rPr>
          <w:rFonts w:ascii="Arial" w:hAnsi="Arial" w:cs="Arial"/>
          <w:i/>
          <w:sz w:val="22"/>
          <w:szCs w:val="22"/>
          <w:highlight w:val="yellow"/>
        </w:rPr>
        <w:t xml:space="preserve"> as required]</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bookmarkStart w:id="0" w:name="_GoBack"/>
      <w:bookmarkEnd w:id="0"/>
    </w:p>
    <w:p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AD" w:rsidRDefault="00C703AD">
      <w:r>
        <w:separator/>
      </w:r>
    </w:p>
  </w:endnote>
  <w:endnote w:type="continuationSeparator" w:id="0">
    <w:p w:rsidR="00C703AD" w:rsidRDefault="00C7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5E11" w:rsidRPr="00DA5E11">
      <w:rPr>
        <w:rFonts w:ascii="Arial" w:hAnsi="Arial" w:cs="Arial"/>
        <w:i/>
        <w:sz w:val="20"/>
        <w:szCs w:val="20"/>
        <w:highlight w:val="yellow"/>
      </w:rPr>
      <w:t>insert date</w:t>
    </w:r>
    <w:r w:rsidR="00E6007E">
      <w:rPr>
        <w:rFonts w:ascii="Arial" w:hAnsi="Arial" w:cs="Arial"/>
        <w:i/>
        <w:sz w:val="20"/>
        <w:szCs w:val="20"/>
      </w:rPr>
      <w:tab/>
      <w:t xml:space="preserve">                         </w:t>
    </w:r>
    <w:r>
      <w:rPr>
        <w:rFonts w:ascii="Arial" w:hAnsi="Arial" w:cs="Arial"/>
        <w:sz w:val="20"/>
        <w:szCs w:val="20"/>
      </w:rPr>
      <w:t xml:space="preserve">Next Review: </w:t>
    </w:r>
    <w:r w:rsidR="00DA5E11" w:rsidRPr="00DA5E11">
      <w:rPr>
        <w:rFonts w:ascii="Arial" w:hAnsi="Arial" w:cs="Arial"/>
        <w:i/>
        <w:sz w:val="20"/>
        <w:szCs w:val="20"/>
        <w:highlight w:val="yellow"/>
      </w:rPr>
      <w:t>insert date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AD" w:rsidRDefault="00C703AD">
      <w:r>
        <w:separator/>
      </w:r>
    </w:p>
  </w:footnote>
  <w:footnote w:type="continuationSeparator" w:id="0">
    <w:p w:rsidR="00C703AD" w:rsidRDefault="00C7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ta.org.uk/safeguardin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D5D5F44A-7F9B-4EC5-9ABB-59C2A969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3066</Words>
  <Characters>16560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19587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Mathew Lea</cp:lastModifiedBy>
  <cp:revision>4</cp:revision>
  <cp:lastPrinted>2015-06-04T13:44:00Z</cp:lastPrinted>
  <dcterms:created xsi:type="dcterms:W3CDTF">2019-01-15T12:11:00Z</dcterms:created>
  <dcterms:modified xsi:type="dcterms:W3CDTF">2019-07-18T13:10:00Z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