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63" w:type="dxa"/>
        <w:tblInd w:w="-743" w:type="dxa"/>
        <w:tblLook w:val="04A0" w:firstRow="1" w:lastRow="0" w:firstColumn="1" w:lastColumn="0" w:noHBand="0" w:noVBand="1"/>
      </w:tblPr>
      <w:tblGrid>
        <w:gridCol w:w="7302"/>
        <w:gridCol w:w="3561"/>
      </w:tblGrid>
      <w:tr w:rsidR="008915B3" w:rsidTr="00D36022">
        <w:trPr>
          <w:trHeight w:val="328"/>
        </w:trPr>
        <w:tc>
          <w:tcPr>
            <w:tcW w:w="7302" w:type="dxa"/>
            <w:vAlign w:val="center"/>
          </w:tcPr>
          <w:p w:rsidR="008915B3" w:rsidRPr="00902C01" w:rsidRDefault="008915B3" w:rsidP="00627F6B">
            <w:pPr>
              <w:jc w:val="left"/>
              <w:rPr>
                <w:b/>
                <w:sz w:val="24"/>
                <w:szCs w:val="24"/>
              </w:rPr>
            </w:pPr>
            <w:r w:rsidRPr="004B1587">
              <w:rPr>
                <w:b/>
                <w:szCs w:val="20"/>
              </w:rPr>
              <w:t>EXPENSES</w:t>
            </w:r>
            <w:r w:rsidR="00544E82">
              <w:rPr>
                <w:b/>
                <w:szCs w:val="20"/>
              </w:rPr>
              <w:t xml:space="preserve"> –</w:t>
            </w:r>
            <w:r w:rsidR="00627F6B">
              <w:rPr>
                <w:b/>
                <w:szCs w:val="20"/>
              </w:rPr>
              <w:t xml:space="preserve"> </w:t>
            </w:r>
            <w:r w:rsidR="00544E82">
              <w:rPr>
                <w:b/>
                <w:szCs w:val="20"/>
              </w:rPr>
              <w:t>PLAYERS</w:t>
            </w:r>
            <w:r w:rsidR="0068490D">
              <w:rPr>
                <w:b/>
                <w:szCs w:val="20"/>
              </w:rPr>
              <w:t xml:space="preserve"> COUNTY CUP</w:t>
            </w:r>
          </w:p>
        </w:tc>
        <w:tc>
          <w:tcPr>
            <w:tcW w:w="3561" w:type="dxa"/>
            <w:vAlign w:val="center"/>
          </w:tcPr>
          <w:p w:rsidR="008915B3" w:rsidRPr="004B1587" w:rsidRDefault="008915B3" w:rsidP="00544E82">
            <w:pPr>
              <w:jc w:val="right"/>
              <w:rPr>
                <w:szCs w:val="20"/>
              </w:rPr>
            </w:pPr>
            <w:r w:rsidRPr="004B1587">
              <w:rPr>
                <w:szCs w:val="20"/>
              </w:rPr>
              <w:t>TENNIS WALES LIMITED</w:t>
            </w:r>
          </w:p>
        </w:tc>
      </w:tr>
      <w:tr w:rsidR="00544E82" w:rsidTr="00D36022">
        <w:tc>
          <w:tcPr>
            <w:tcW w:w="10863" w:type="dxa"/>
            <w:gridSpan w:val="2"/>
            <w:tcBorders>
              <w:left w:val="nil"/>
              <w:right w:val="nil"/>
            </w:tcBorders>
          </w:tcPr>
          <w:p w:rsidR="00544E82" w:rsidRPr="00697A4F" w:rsidRDefault="00544E82" w:rsidP="00CB4B19">
            <w:pPr>
              <w:rPr>
                <w:szCs w:val="20"/>
              </w:rPr>
            </w:pPr>
          </w:p>
        </w:tc>
      </w:tr>
      <w:tr w:rsidR="008915B3" w:rsidTr="00D36022">
        <w:tc>
          <w:tcPr>
            <w:tcW w:w="10863" w:type="dxa"/>
            <w:gridSpan w:val="2"/>
            <w:tcBorders>
              <w:right w:val="single" w:sz="4" w:space="0" w:color="auto"/>
            </w:tcBorders>
          </w:tcPr>
          <w:p w:rsidR="008915B3" w:rsidRPr="00CB4B19" w:rsidRDefault="001D40A4" w:rsidP="00CB4B19">
            <w:pPr>
              <w:jc w:val="center"/>
              <w:rPr>
                <w:szCs w:val="20"/>
              </w:rPr>
            </w:pPr>
            <w:r w:rsidRPr="00CB4B19">
              <w:rPr>
                <w:szCs w:val="20"/>
              </w:rPr>
              <w:t>P</w:t>
            </w:r>
            <w:r w:rsidR="007412CA" w:rsidRPr="00CB4B19">
              <w:rPr>
                <w:szCs w:val="20"/>
              </w:rPr>
              <w:t xml:space="preserve">layers </w:t>
            </w:r>
            <w:r w:rsidR="008915B3" w:rsidRPr="00CB4B19">
              <w:rPr>
                <w:szCs w:val="20"/>
              </w:rPr>
              <w:t>may claim expenses as detailed below in respect of travel, accommodation and meals incurred whilst carrying out duties on behalf of Tennis Wales Limited</w:t>
            </w:r>
            <w:r w:rsidR="007412CA" w:rsidRPr="00CB4B19">
              <w:rPr>
                <w:szCs w:val="20"/>
              </w:rPr>
              <w:t>.  An</w:t>
            </w:r>
            <w:r w:rsidR="008915B3" w:rsidRPr="00CB4B19">
              <w:rPr>
                <w:szCs w:val="20"/>
              </w:rPr>
              <w:t xml:space="preserve"> Expenses Claim Form</w:t>
            </w:r>
            <w:r w:rsidR="007412CA" w:rsidRPr="00CB4B19">
              <w:rPr>
                <w:szCs w:val="20"/>
              </w:rPr>
              <w:t xml:space="preserve"> must be completed and submitted</w:t>
            </w:r>
            <w:r w:rsidR="008915B3" w:rsidRPr="00CB4B19">
              <w:rPr>
                <w:szCs w:val="20"/>
              </w:rPr>
              <w:t xml:space="preserve"> to </w:t>
            </w:r>
            <w:r w:rsidR="009406F3" w:rsidRPr="00CB4B19">
              <w:rPr>
                <w:szCs w:val="20"/>
              </w:rPr>
              <w:t xml:space="preserve">Maryna Jones, Tennis Wales, Francis House, No 2, Drake Walk, </w:t>
            </w:r>
            <w:proofErr w:type="gramStart"/>
            <w:r w:rsidR="009406F3" w:rsidRPr="00CB4B19">
              <w:rPr>
                <w:szCs w:val="20"/>
              </w:rPr>
              <w:t>Brig</w:t>
            </w:r>
            <w:r w:rsidR="008C10B8">
              <w:rPr>
                <w:szCs w:val="20"/>
              </w:rPr>
              <w:t>an</w:t>
            </w:r>
            <w:r w:rsidR="00CB4B19">
              <w:rPr>
                <w:szCs w:val="20"/>
              </w:rPr>
              <w:t>tine</w:t>
            </w:r>
            <w:proofErr w:type="gramEnd"/>
            <w:r w:rsidR="00CB4B19">
              <w:rPr>
                <w:szCs w:val="20"/>
              </w:rPr>
              <w:t xml:space="preserve"> Place, Cardiff, CF10 4AN</w:t>
            </w:r>
            <w:r w:rsidR="00D4799A" w:rsidRPr="00CB4B19">
              <w:rPr>
                <w:szCs w:val="20"/>
              </w:rPr>
              <w:t>.  Receipts must be attached where applicable.</w:t>
            </w:r>
          </w:p>
        </w:tc>
      </w:tr>
      <w:tr w:rsidR="008915B3" w:rsidTr="00D36022">
        <w:tc>
          <w:tcPr>
            <w:tcW w:w="108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915B3" w:rsidRPr="00CB4B19" w:rsidRDefault="008915B3" w:rsidP="00CB4B19">
            <w:pPr>
              <w:jc w:val="center"/>
              <w:rPr>
                <w:szCs w:val="20"/>
              </w:rPr>
            </w:pPr>
            <w:r w:rsidRPr="00CB4B19">
              <w:rPr>
                <w:szCs w:val="20"/>
              </w:rPr>
              <w:t xml:space="preserve">The </w:t>
            </w:r>
            <w:r w:rsidR="0068490D" w:rsidRPr="00CB4B19">
              <w:rPr>
                <w:szCs w:val="20"/>
              </w:rPr>
              <w:t>Designated Person</w:t>
            </w:r>
            <w:r w:rsidRPr="00CB4B19">
              <w:rPr>
                <w:szCs w:val="20"/>
              </w:rPr>
              <w:t xml:space="preserve"> </w:t>
            </w:r>
            <w:r w:rsidR="0068490D" w:rsidRPr="00CB4B19">
              <w:rPr>
                <w:szCs w:val="20"/>
              </w:rPr>
              <w:t xml:space="preserve">(DP) </w:t>
            </w:r>
            <w:r w:rsidRPr="00CB4B19">
              <w:rPr>
                <w:szCs w:val="20"/>
              </w:rPr>
              <w:t>will authorise payment of all expense claims.  Any claim which does not fall within the parameters below will only be</w:t>
            </w:r>
            <w:r w:rsidR="00D4799A" w:rsidRPr="00CB4B19">
              <w:rPr>
                <w:szCs w:val="20"/>
              </w:rPr>
              <w:t xml:space="preserve"> paid</w:t>
            </w:r>
            <w:r w:rsidRPr="00CB4B19">
              <w:rPr>
                <w:szCs w:val="20"/>
              </w:rPr>
              <w:t xml:space="preserve"> if the </w:t>
            </w:r>
            <w:r w:rsidR="0068490D" w:rsidRPr="00CB4B19">
              <w:rPr>
                <w:szCs w:val="20"/>
              </w:rPr>
              <w:t>CEO</w:t>
            </w:r>
            <w:r w:rsidRPr="00CB4B19">
              <w:rPr>
                <w:szCs w:val="20"/>
              </w:rPr>
              <w:t xml:space="preserve"> has authorised </w:t>
            </w:r>
            <w:r w:rsidR="00724DEF" w:rsidRPr="00CB4B19">
              <w:rPr>
                <w:szCs w:val="20"/>
              </w:rPr>
              <w:t>such expenditure</w:t>
            </w:r>
            <w:r w:rsidRPr="00CB4B19">
              <w:rPr>
                <w:szCs w:val="20"/>
              </w:rPr>
              <w:t xml:space="preserve"> in writing.</w:t>
            </w:r>
          </w:p>
        </w:tc>
      </w:tr>
      <w:tr w:rsidR="008915B3" w:rsidTr="00D36022">
        <w:tc>
          <w:tcPr>
            <w:tcW w:w="10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15B3" w:rsidRPr="00CB4B19" w:rsidRDefault="00D4799A" w:rsidP="00CB4B19">
            <w:pPr>
              <w:jc w:val="center"/>
              <w:rPr>
                <w:szCs w:val="20"/>
              </w:rPr>
            </w:pPr>
            <w:r w:rsidRPr="00CB4B19">
              <w:rPr>
                <w:szCs w:val="20"/>
              </w:rPr>
              <w:t>Expenses should, if possible, be claimed for in the month in which the expenditure occurs.  The financial year end is 3</w:t>
            </w:r>
            <w:r w:rsidR="00810F87" w:rsidRPr="00CB4B19">
              <w:rPr>
                <w:szCs w:val="20"/>
              </w:rPr>
              <w:t>1</w:t>
            </w:r>
            <w:r w:rsidRPr="00CB4B19">
              <w:rPr>
                <w:szCs w:val="20"/>
              </w:rPr>
              <w:t xml:space="preserve"> </w:t>
            </w:r>
            <w:r w:rsidR="00810F87" w:rsidRPr="00CB4B19">
              <w:rPr>
                <w:szCs w:val="20"/>
              </w:rPr>
              <w:t>Dec</w:t>
            </w:r>
            <w:r w:rsidRPr="00CB4B19">
              <w:rPr>
                <w:szCs w:val="20"/>
              </w:rPr>
              <w:t>ember and all claims should be received within 10 calendar days of each month end.</w:t>
            </w:r>
          </w:p>
        </w:tc>
      </w:tr>
      <w:tr w:rsidR="00656BB7" w:rsidTr="00D36022">
        <w:tc>
          <w:tcPr>
            <w:tcW w:w="10863" w:type="dxa"/>
            <w:gridSpan w:val="2"/>
            <w:tcBorders>
              <w:left w:val="nil"/>
              <w:right w:val="nil"/>
            </w:tcBorders>
          </w:tcPr>
          <w:p w:rsidR="00656BB7" w:rsidRDefault="00656BB7" w:rsidP="004B1587">
            <w:pPr>
              <w:jc w:val="center"/>
              <w:rPr>
                <w:b/>
              </w:rPr>
            </w:pPr>
          </w:p>
        </w:tc>
      </w:tr>
      <w:tr w:rsidR="00656BB7" w:rsidTr="00D36022">
        <w:tc>
          <w:tcPr>
            <w:tcW w:w="10863" w:type="dxa"/>
            <w:gridSpan w:val="2"/>
            <w:tcBorders>
              <w:bottom w:val="single" w:sz="4" w:space="0" w:color="auto"/>
            </w:tcBorders>
          </w:tcPr>
          <w:p w:rsidR="00656BB7" w:rsidRDefault="00656BB7" w:rsidP="004B1587">
            <w:pPr>
              <w:jc w:val="center"/>
              <w:rPr>
                <w:b/>
              </w:rPr>
            </w:pPr>
            <w:r>
              <w:rPr>
                <w:b/>
              </w:rPr>
              <w:t>PLEASE NOTE: 9&amp;U</w:t>
            </w:r>
            <w:r w:rsidR="00722CBB">
              <w:rPr>
                <w:b/>
              </w:rPr>
              <w:t>nder</w:t>
            </w:r>
            <w:r w:rsidR="007E2709">
              <w:rPr>
                <w:b/>
              </w:rPr>
              <w:t>,</w:t>
            </w:r>
            <w:r>
              <w:rPr>
                <w:b/>
              </w:rPr>
              <w:t xml:space="preserve"> 10&amp;U</w:t>
            </w:r>
            <w:r w:rsidR="00722CBB">
              <w:rPr>
                <w:b/>
              </w:rPr>
              <w:t>nder</w:t>
            </w:r>
            <w:r>
              <w:rPr>
                <w:b/>
              </w:rPr>
              <w:t xml:space="preserve"> </w:t>
            </w:r>
            <w:r w:rsidR="007E2709">
              <w:rPr>
                <w:b/>
              </w:rPr>
              <w:t xml:space="preserve">and 12&amp;Under </w:t>
            </w:r>
            <w:r>
              <w:rPr>
                <w:b/>
              </w:rPr>
              <w:t>players are not entitled to claim any expenses for travel, accommodation or subsistence.</w:t>
            </w:r>
          </w:p>
          <w:p w:rsidR="009860E6" w:rsidRPr="009860E6" w:rsidRDefault="009860E6" w:rsidP="009860E6">
            <w:pPr>
              <w:pStyle w:val="ListParagraph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Teams playing at a</w:t>
            </w:r>
            <w:r w:rsidRPr="009860E6">
              <w:rPr>
                <w:b/>
                <w:szCs w:val="20"/>
              </w:rPr>
              <w:t xml:space="preserve"> home venue will not </w:t>
            </w:r>
            <w:r>
              <w:rPr>
                <w:b/>
                <w:szCs w:val="20"/>
              </w:rPr>
              <w:t>be entitled to claim any</w:t>
            </w:r>
            <w:r w:rsidRPr="009860E6">
              <w:rPr>
                <w:b/>
                <w:szCs w:val="20"/>
              </w:rPr>
              <w:t xml:space="preserve"> expenses </w:t>
            </w:r>
            <w:r>
              <w:rPr>
                <w:b/>
                <w:szCs w:val="20"/>
              </w:rPr>
              <w:t>for</w:t>
            </w:r>
            <w:r w:rsidRPr="009860E6">
              <w:rPr>
                <w:b/>
                <w:szCs w:val="20"/>
              </w:rPr>
              <w:t xml:space="preserve"> travel, accommodation or subsistence</w:t>
            </w:r>
            <w:r>
              <w:rPr>
                <w:b/>
                <w:szCs w:val="20"/>
              </w:rPr>
              <w:t>.</w:t>
            </w:r>
          </w:p>
        </w:tc>
      </w:tr>
      <w:tr w:rsidR="00722CBB" w:rsidTr="00D36022">
        <w:tc>
          <w:tcPr>
            <w:tcW w:w="10863" w:type="dxa"/>
            <w:gridSpan w:val="2"/>
            <w:tcBorders>
              <w:left w:val="nil"/>
              <w:right w:val="nil"/>
            </w:tcBorders>
          </w:tcPr>
          <w:p w:rsidR="00722CBB" w:rsidRDefault="00722CBB" w:rsidP="004B1587">
            <w:pPr>
              <w:jc w:val="center"/>
              <w:rPr>
                <w:b/>
              </w:rPr>
            </w:pPr>
          </w:p>
        </w:tc>
      </w:tr>
      <w:tr w:rsidR="00D4799A" w:rsidTr="00D36022">
        <w:tc>
          <w:tcPr>
            <w:tcW w:w="10863" w:type="dxa"/>
            <w:gridSpan w:val="2"/>
          </w:tcPr>
          <w:p w:rsidR="00D4799A" w:rsidRPr="00902C01" w:rsidRDefault="001D40A4" w:rsidP="004B1587">
            <w:pPr>
              <w:jc w:val="center"/>
              <w:rPr>
                <w:b/>
              </w:rPr>
            </w:pPr>
            <w:r>
              <w:rPr>
                <w:b/>
              </w:rPr>
              <w:t>TRAVEL</w:t>
            </w:r>
          </w:p>
        </w:tc>
      </w:tr>
      <w:tr w:rsidR="00BC7A4B" w:rsidTr="00D36022">
        <w:tc>
          <w:tcPr>
            <w:tcW w:w="108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4B19" w:rsidRDefault="00BC7A4B" w:rsidP="007E2709">
            <w:pPr>
              <w:jc w:val="center"/>
            </w:pPr>
            <w:r>
              <w:t>Senior and 18</w:t>
            </w:r>
            <w:r w:rsidR="0068490D">
              <w:t xml:space="preserve">, 14 </w:t>
            </w:r>
            <w:r>
              <w:t>&amp; under players will travel together from an agreed location.  Senior players</w:t>
            </w:r>
            <w:r w:rsidR="004B1587">
              <w:t xml:space="preserve"> using their own car</w:t>
            </w:r>
            <w:r>
              <w:t xml:space="preserve"> may claim </w:t>
            </w:r>
            <w:r w:rsidR="00627F6B">
              <w:t>25p per mile</w:t>
            </w:r>
            <w:r>
              <w:t xml:space="preserve">. </w:t>
            </w:r>
            <w:r w:rsidR="007E2709">
              <w:t>Only three transport expe</w:t>
            </w:r>
            <w:r w:rsidR="009860E6">
              <w:t>nses will be paid for seniors for</w:t>
            </w:r>
            <w:r w:rsidR="007E2709">
              <w:t xml:space="preserve"> each county cup event.</w:t>
            </w:r>
            <w:r>
              <w:t xml:space="preserve"> Additional travel expenses will only be reimbursed</w:t>
            </w:r>
            <w:r w:rsidR="004B1587">
              <w:t xml:space="preserve"> in exceptional circumstances and by prior approval of the CEO.</w:t>
            </w:r>
            <w:r w:rsidR="0068490D">
              <w:t xml:space="preserve">  Tennis Wales will only pay fo</w:t>
            </w:r>
            <w:r w:rsidR="00697A4F">
              <w:t xml:space="preserve">r mileage used and not petrol. </w:t>
            </w:r>
            <w:r w:rsidR="0068490D">
              <w:t>Mileage claims must be made using t</w:t>
            </w:r>
            <w:r w:rsidR="007E2709">
              <w:t xml:space="preserve">he Tennis Wales Expenses Form. </w:t>
            </w:r>
          </w:p>
          <w:p w:rsidR="00BC7A4B" w:rsidRDefault="007E2709" w:rsidP="00C74BB2">
            <w:pPr>
              <w:jc w:val="center"/>
            </w:pPr>
            <w:r>
              <w:t>Hire car will only be accepted at the 18&amp; Under and 14&amp; Under age groups</w:t>
            </w:r>
            <w:r w:rsidR="00C74BB2">
              <w:t xml:space="preserve">; </w:t>
            </w:r>
            <w:r w:rsidR="00C74BB2" w:rsidRPr="00C74BB2">
              <w:rPr>
                <w:szCs w:val="20"/>
              </w:rPr>
              <w:t>limited to one car per team</w:t>
            </w:r>
            <w:r w:rsidR="00C74BB2">
              <w:t>,</w:t>
            </w:r>
            <w:r>
              <w:t xml:space="preserve"> petrol receipts will be accepted in this instance.</w:t>
            </w:r>
            <w:r w:rsidR="00CB4B19">
              <w:t xml:space="preserve"> </w:t>
            </w:r>
            <w:r w:rsidR="00C74BB2">
              <w:t xml:space="preserve">Hire car </w:t>
            </w:r>
            <w:r w:rsidR="00CB4B19">
              <w:t>will be signed off by the DP before booking.</w:t>
            </w:r>
          </w:p>
        </w:tc>
      </w:tr>
      <w:tr w:rsidR="00724DEF" w:rsidTr="00D36022">
        <w:tc>
          <w:tcPr>
            <w:tcW w:w="10863" w:type="dxa"/>
            <w:gridSpan w:val="2"/>
          </w:tcPr>
          <w:p w:rsidR="00724DEF" w:rsidRDefault="00724DEF" w:rsidP="004B1587">
            <w:pPr>
              <w:jc w:val="center"/>
            </w:pPr>
            <w:r>
              <w:t>All rail travel will be at Standard Class Rate unless exceptional circumstances apply and</w:t>
            </w:r>
            <w:r w:rsidR="004B1587">
              <w:t xml:space="preserve"> by</w:t>
            </w:r>
            <w:r>
              <w:t xml:space="preserve"> prior approval </w:t>
            </w:r>
            <w:r w:rsidR="004B1587">
              <w:t>of</w:t>
            </w:r>
            <w:r>
              <w:t xml:space="preserve"> the CEO.</w:t>
            </w:r>
          </w:p>
        </w:tc>
      </w:tr>
      <w:tr w:rsidR="00B73C13" w:rsidTr="009860E6">
        <w:tc>
          <w:tcPr>
            <w:tcW w:w="10863" w:type="dxa"/>
            <w:gridSpan w:val="2"/>
            <w:tcBorders>
              <w:bottom w:val="single" w:sz="4" w:space="0" w:color="auto"/>
            </w:tcBorders>
          </w:tcPr>
          <w:p w:rsidR="00B73C13" w:rsidRPr="00697A4F" w:rsidRDefault="00B73C13" w:rsidP="00B73C13">
            <w:pPr>
              <w:jc w:val="center"/>
              <w:rPr>
                <w:szCs w:val="20"/>
              </w:rPr>
            </w:pPr>
            <w:r w:rsidRPr="00697A4F">
              <w:rPr>
                <w:szCs w:val="20"/>
              </w:rPr>
              <w:t>Travelling county squad size should be limited to the following:</w:t>
            </w:r>
          </w:p>
          <w:p w:rsidR="00B73C13" w:rsidRPr="00697A4F" w:rsidRDefault="00B73C13" w:rsidP="00B73C13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Ind w:w="2683" w:type="dxa"/>
              <w:tblLook w:val="04A0" w:firstRow="1" w:lastRow="0" w:firstColumn="1" w:lastColumn="0" w:noHBand="0" w:noVBand="1"/>
            </w:tblPr>
            <w:tblGrid>
              <w:gridCol w:w="2293"/>
              <w:gridCol w:w="1560"/>
              <w:gridCol w:w="1417"/>
            </w:tblGrid>
            <w:tr w:rsidR="00B73C13" w:rsidRPr="00697A4F" w:rsidTr="009860E6">
              <w:tc>
                <w:tcPr>
                  <w:tcW w:w="2293" w:type="dxa"/>
                </w:tcPr>
                <w:p w:rsidR="00B73C13" w:rsidRPr="00697A4F" w:rsidRDefault="00B73C13" w:rsidP="00B73C13">
                  <w:pPr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697A4F">
                    <w:rPr>
                      <w:rFonts w:cs="Arial"/>
                      <w:b/>
                      <w:szCs w:val="20"/>
                    </w:rPr>
                    <w:t>Age Group</w:t>
                  </w:r>
                </w:p>
              </w:tc>
              <w:tc>
                <w:tcPr>
                  <w:tcW w:w="1560" w:type="dxa"/>
                </w:tcPr>
                <w:p w:rsidR="00B73C13" w:rsidRPr="00697A4F" w:rsidRDefault="00B73C13" w:rsidP="00B73C1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697A4F">
                    <w:rPr>
                      <w:rFonts w:cs="Arial"/>
                      <w:szCs w:val="20"/>
                    </w:rPr>
                    <w:t>No. in Team</w:t>
                  </w:r>
                </w:p>
              </w:tc>
              <w:tc>
                <w:tcPr>
                  <w:tcW w:w="1417" w:type="dxa"/>
                </w:tcPr>
                <w:p w:rsidR="00B73C13" w:rsidRPr="00697A4F" w:rsidRDefault="00B73C13" w:rsidP="00B73C1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697A4F">
                    <w:rPr>
                      <w:rFonts w:cs="Arial"/>
                      <w:szCs w:val="20"/>
                    </w:rPr>
                    <w:t>Max Squad No.</w:t>
                  </w:r>
                </w:p>
              </w:tc>
            </w:tr>
            <w:tr w:rsidR="00B73C13" w:rsidRPr="00697A4F" w:rsidTr="009860E6">
              <w:tc>
                <w:tcPr>
                  <w:tcW w:w="2293" w:type="dxa"/>
                </w:tcPr>
                <w:p w:rsidR="00B73C13" w:rsidRPr="00697A4F" w:rsidRDefault="00B73C13" w:rsidP="00B73C1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697A4F">
                    <w:rPr>
                      <w:rFonts w:cs="Arial"/>
                      <w:szCs w:val="20"/>
                    </w:rPr>
                    <w:t>9/U mixed</w:t>
                  </w:r>
                </w:p>
              </w:tc>
              <w:tc>
                <w:tcPr>
                  <w:tcW w:w="1560" w:type="dxa"/>
                </w:tcPr>
                <w:p w:rsidR="00B73C13" w:rsidRPr="00697A4F" w:rsidRDefault="00B73C13" w:rsidP="00B73C1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697A4F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B73C13" w:rsidRPr="00697A4F" w:rsidRDefault="00B73C13" w:rsidP="00B73C1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697A4F">
                    <w:rPr>
                      <w:rFonts w:cs="Arial"/>
                      <w:szCs w:val="20"/>
                    </w:rPr>
                    <w:t>7</w:t>
                  </w:r>
                </w:p>
              </w:tc>
            </w:tr>
            <w:tr w:rsidR="00B73C13" w:rsidRPr="00697A4F" w:rsidTr="009860E6">
              <w:tc>
                <w:tcPr>
                  <w:tcW w:w="2293" w:type="dxa"/>
                </w:tcPr>
                <w:p w:rsidR="00B73C13" w:rsidRPr="00697A4F" w:rsidRDefault="00B73C13" w:rsidP="00B73C1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697A4F">
                    <w:rPr>
                      <w:rFonts w:cs="Arial"/>
                      <w:szCs w:val="20"/>
                    </w:rPr>
                    <w:t>10/U</w:t>
                  </w:r>
                </w:p>
              </w:tc>
              <w:tc>
                <w:tcPr>
                  <w:tcW w:w="1560" w:type="dxa"/>
                </w:tcPr>
                <w:p w:rsidR="00B73C13" w:rsidRPr="00697A4F" w:rsidRDefault="00B73C13" w:rsidP="00B73C1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697A4F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B73C13" w:rsidRPr="00697A4F" w:rsidRDefault="00B73C13" w:rsidP="00B73C1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697A4F"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  <w:tr w:rsidR="00B73C13" w:rsidRPr="00697A4F" w:rsidTr="009860E6">
              <w:tc>
                <w:tcPr>
                  <w:tcW w:w="2293" w:type="dxa"/>
                </w:tcPr>
                <w:p w:rsidR="00B73C13" w:rsidRPr="00697A4F" w:rsidRDefault="00B73C13" w:rsidP="00B73C1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697A4F">
                    <w:rPr>
                      <w:rFonts w:cs="Arial"/>
                      <w:szCs w:val="20"/>
                    </w:rPr>
                    <w:t>12/U</w:t>
                  </w:r>
                </w:p>
              </w:tc>
              <w:tc>
                <w:tcPr>
                  <w:tcW w:w="1560" w:type="dxa"/>
                </w:tcPr>
                <w:p w:rsidR="00B73C13" w:rsidRPr="00697A4F" w:rsidRDefault="00B73C13" w:rsidP="00B73C1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697A4F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B73C13" w:rsidRPr="00697A4F" w:rsidRDefault="00B73C13" w:rsidP="00B73C1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697A4F"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  <w:tr w:rsidR="00B73C13" w:rsidRPr="00697A4F" w:rsidTr="009860E6">
              <w:tc>
                <w:tcPr>
                  <w:tcW w:w="2293" w:type="dxa"/>
                </w:tcPr>
                <w:p w:rsidR="00B73C13" w:rsidRPr="00697A4F" w:rsidRDefault="00B73C13" w:rsidP="00B73C1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697A4F">
                    <w:rPr>
                      <w:rFonts w:cs="Arial"/>
                      <w:szCs w:val="20"/>
                    </w:rPr>
                    <w:t>14/U</w:t>
                  </w:r>
                </w:p>
              </w:tc>
              <w:tc>
                <w:tcPr>
                  <w:tcW w:w="1560" w:type="dxa"/>
                </w:tcPr>
                <w:p w:rsidR="00B73C13" w:rsidRPr="00697A4F" w:rsidRDefault="00B73C13" w:rsidP="00B73C1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697A4F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B73C13" w:rsidRPr="00697A4F" w:rsidRDefault="00722CBB" w:rsidP="00B73C1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697A4F">
                    <w:rPr>
                      <w:rFonts w:cs="Arial"/>
                      <w:szCs w:val="20"/>
                    </w:rPr>
                    <w:t>6</w:t>
                  </w:r>
                </w:p>
              </w:tc>
            </w:tr>
            <w:tr w:rsidR="00B73C13" w:rsidRPr="00697A4F" w:rsidTr="009860E6">
              <w:tc>
                <w:tcPr>
                  <w:tcW w:w="2293" w:type="dxa"/>
                </w:tcPr>
                <w:p w:rsidR="00B73C13" w:rsidRPr="00697A4F" w:rsidRDefault="00B73C13" w:rsidP="00B73C1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697A4F">
                    <w:rPr>
                      <w:rFonts w:cs="Arial"/>
                      <w:szCs w:val="20"/>
                    </w:rPr>
                    <w:t>18/U</w:t>
                  </w:r>
                </w:p>
              </w:tc>
              <w:tc>
                <w:tcPr>
                  <w:tcW w:w="1560" w:type="dxa"/>
                </w:tcPr>
                <w:p w:rsidR="00B73C13" w:rsidRPr="00697A4F" w:rsidRDefault="00B73C13" w:rsidP="00B73C1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697A4F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B73C13" w:rsidRPr="00697A4F" w:rsidRDefault="00722CBB" w:rsidP="00B73C1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697A4F">
                    <w:rPr>
                      <w:rFonts w:cs="Arial"/>
                      <w:szCs w:val="20"/>
                    </w:rPr>
                    <w:t>8</w:t>
                  </w:r>
                </w:p>
              </w:tc>
            </w:tr>
            <w:tr w:rsidR="00B73C13" w:rsidRPr="00697A4F" w:rsidTr="009860E6">
              <w:tc>
                <w:tcPr>
                  <w:tcW w:w="2293" w:type="dxa"/>
                </w:tcPr>
                <w:p w:rsidR="00B73C13" w:rsidRPr="00697A4F" w:rsidRDefault="00B73C13" w:rsidP="00B73C1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697A4F">
                    <w:rPr>
                      <w:rFonts w:cs="Arial"/>
                      <w:szCs w:val="20"/>
                    </w:rPr>
                    <w:t>Senior Winter</w:t>
                  </w:r>
                </w:p>
              </w:tc>
              <w:tc>
                <w:tcPr>
                  <w:tcW w:w="1560" w:type="dxa"/>
                </w:tcPr>
                <w:p w:rsidR="00B73C13" w:rsidRPr="00697A4F" w:rsidRDefault="00B73C13" w:rsidP="00B73C1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697A4F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B73C13" w:rsidRPr="00697A4F" w:rsidRDefault="00B73C13" w:rsidP="00B73C1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697A4F">
                    <w:rPr>
                      <w:rFonts w:cs="Arial"/>
                      <w:szCs w:val="20"/>
                    </w:rPr>
                    <w:t>8</w:t>
                  </w:r>
                </w:p>
              </w:tc>
            </w:tr>
            <w:tr w:rsidR="00B73C13" w:rsidRPr="00697A4F" w:rsidTr="009860E6">
              <w:tc>
                <w:tcPr>
                  <w:tcW w:w="2293" w:type="dxa"/>
                </w:tcPr>
                <w:p w:rsidR="00B73C13" w:rsidRPr="00697A4F" w:rsidRDefault="00B73C13" w:rsidP="00B73C1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697A4F">
                    <w:rPr>
                      <w:rFonts w:cs="Arial"/>
                      <w:szCs w:val="20"/>
                    </w:rPr>
                    <w:t>Senior Summer</w:t>
                  </w:r>
                </w:p>
              </w:tc>
              <w:tc>
                <w:tcPr>
                  <w:tcW w:w="1560" w:type="dxa"/>
                </w:tcPr>
                <w:p w:rsidR="00B73C13" w:rsidRPr="00697A4F" w:rsidRDefault="00B73C13" w:rsidP="00B73C1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697A4F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B73C13" w:rsidRPr="00697A4F" w:rsidRDefault="00B73C13" w:rsidP="00B73C1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697A4F">
                    <w:rPr>
                      <w:rFonts w:cs="Arial"/>
                      <w:szCs w:val="20"/>
                    </w:rPr>
                    <w:t>8</w:t>
                  </w:r>
                </w:p>
              </w:tc>
            </w:tr>
          </w:tbl>
          <w:p w:rsidR="00B73C13" w:rsidRPr="00697A4F" w:rsidRDefault="00B73C13" w:rsidP="00B73C13">
            <w:pPr>
              <w:jc w:val="center"/>
              <w:rPr>
                <w:rFonts w:cs="Arial"/>
                <w:szCs w:val="20"/>
              </w:rPr>
            </w:pPr>
          </w:p>
          <w:p w:rsidR="00B73C13" w:rsidRPr="00CB4B19" w:rsidRDefault="00B73C13" w:rsidP="00CB4B19">
            <w:pPr>
              <w:jc w:val="center"/>
              <w:rPr>
                <w:rFonts w:ascii="Arial" w:hAnsi="Arial" w:cs="Arial"/>
                <w:sz w:val="22"/>
              </w:rPr>
            </w:pPr>
            <w:r w:rsidRPr="00697A4F">
              <w:rPr>
                <w:rFonts w:cs="Arial"/>
                <w:szCs w:val="20"/>
              </w:rPr>
              <w:t>Any squad sizes in excess of this must be authorised by the Tennis Wales CEO</w:t>
            </w:r>
          </w:p>
        </w:tc>
      </w:tr>
      <w:tr w:rsidR="009860E6" w:rsidTr="009860E6">
        <w:tc>
          <w:tcPr>
            <w:tcW w:w="10863" w:type="dxa"/>
            <w:gridSpan w:val="2"/>
            <w:tcBorders>
              <w:left w:val="nil"/>
              <w:right w:val="nil"/>
            </w:tcBorders>
          </w:tcPr>
          <w:p w:rsidR="009860E6" w:rsidRDefault="009860E6" w:rsidP="00B73C13">
            <w:pPr>
              <w:jc w:val="center"/>
            </w:pPr>
          </w:p>
        </w:tc>
      </w:tr>
      <w:tr w:rsidR="009860E6" w:rsidTr="00D36022">
        <w:tc>
          <w:tcPr>
            <w:tcW w:w="10863" w:type="dxa"/>
            <w:gridSpan w:val="2"/>
          </w:tcPr>
          <w:p w:rsidR="009860E6" w:rsidRPr="009860E6" w:rsidRDefault="009860E6" w:rsidP="00B73C13">
            <w:pPr>
              <w:jc w:val="center"/>
              <w:rPr>
                <w:b/>
              </w:rPr>
            </w:pPr>
            <w:r w:rsidRPr="009860E6">
              <w:rPr>
                <w:b/>
              </w:rPr>
              <w:t>COUNTY FINALS</w:t>
            </w:r>
          </w:p>
        </w:tc>
      </w:tr>
      <w:tr w:rsidR="009860E6" w:rsidTr="00D36022">
        <w:tc>
          <w:tcPr>
            <w:tcW w:w="10863" w:type="dxa"/>
            <w:gridSpan w:val="2"/>
          </w:tcPr>
          <w:p w:rsidR="009860E6" w:rsidRPr="00697A4F" w:rsidRDefault="009860E6" w:rsidP="00697A4F">
            <w:pPr>
              <w:jc w:val="center"/>
              <w:rPr>
                <w:szCs w:val="20"/>
              </w:rPr>
            </w:pPr>
            <w:r w:rsidRPr="00697A4F">
              <w:rPr>
                <w:szCs w:val="20"/>
              </w:rPr>
              <w:t>U14, U12, and U10 teams reaching the county final will not be entitled to claim any expenses for travel, accommodation or subsistence. Tennis Wales will provide a Captain for the events.</w:t>
            </w:r>
          </w:p>
        </w:tc>
      </w:tr>
      <w:tr w:rsidR="00724DEF" w:rsidTr="008A4D32">
        <w:trPr>
          <w:trHeight w:val="152"/>
        </w:trPr>
        <w:tc>
          <w:tcPr>
            <w:tcW w:w="10863" w:type="dxa"/>
            <w:gridSpan w:val="2"/>
            <w:tcBorders>
              <w:left w:val="nil"/>
              <w:right w:val="nil"/>
            </w:tcBorders>
          </w:tcPr>
          <w:p w:rsidR="00B73C13" w:rsidRPr="008A4D32" w:rsidRDefault="00B73C13" w:rsidP="00B73C13">
            <w:pPr>
              <w:rPr>
                <w:sz w:val="2"/>
                <w:szCs w:val="2"/>
              </w:rPr>
            </w:pPr>
          </w:p>
        </w:tc>
      </w:tr>
      <w:tr w:rsidR="00C030BC" w:rsidTr="00D36022">
        <w:tc>
          <w:tcPr>
            <w:tcW w:w="10863" w:type="dxa"/>
            <w:gridSpan w:val="2"/>
            <w:tcBorders>
              <w:right w:val="single" w:sz="4" w:space="0" w:color="auto"/>
            </w:tcBorders>
            <w:vAlign w:val="center"/>
          </w:tcPr>
          <w:p w:rsidR="00C030BC" w:rsidRDefault="00C030BC" w:rsidP="00656BB7">
            <w:pPr>
              <w:jc w:val="center"/>
            </w:pPr>
            <w:r w:rsidRPr="00902C01">
              <w:rPr>
                <w:b/>
              </w:rPr>
              <w:t xml:space="preserve">ACCOMMODATION </w:t>
            </w:r>
            <w:r w:rsidR="00656BB7">
              <w:rPr>
                <w:b/>
              </w:rPr>
              <w:t>– Senior and Junior players</w:t>
            </w:r>
          </w:p>
        </w:tc>
      </w:tr>
      <w:tr w:rsidR="004B1587" w:rsidTr="00D36022">
        <w:tc>
          <w:tcPr>
            <w:tcW w:w="10863" w:type="dxa"/>
            <w:gridSpan w:val="2"/>
            <w:tcBorders>
              <w:right w:val="single" w:sz="4" w:space="0" w:color="auto"/>
            </w:tcBorders>
          </w:tcPr>
          <w:p w:rsidR="007E2709" w:rsidRDefault="0068490D" w:rsidP="007E2709">
            <w:pPr>
              <w:jc w:val="center"/>
            </w:pPr>
            <w:r>
              <w:t>Junior</w:t>
            </w:r>
            <w:r w:rsidR="004B1587">
              <w:t xml:space="preserve"> players will only be entitled to bed &amp; breakfast</w:t>
            </w:r>
            <w:r w:rsidR="00656BB7">
              <w:t xml:space="preserve"> (</w:t>
            </w:r>
            <w:r w:rsidR="007E2709">
              <w:t>18&amp;U, 14&amp;U</w:t>
            </w:r>
            <w:r w:rsidR="00656BB7">
              <w:t xml:space="preserve">).  </w:t>
            </w:r>
          </w:p>
        </w:tc>
      </w:tr>
      <w:tr w:rsidR="004B1587" w:rsidTr="00D36022">
        <w:tc>
          <w:tcPr>
            <w:tcW w:w="10863" w:type="dxa"/>
            <w:gridSpan w:val="2"/>
            <w:tcBorders>
              <w:right w:val="single" w:sz="4" w:space="0" w:color="auto"/>
            </w:tcBorders>
          </w:tcPr>
          <w:p w:rsidR="004B1587" w:rsidRDefault="004B1587" w:rsidP="00B34FBF">
            <w:pPr>
              <w:jc w:val="center"/>
            </w:pPr>
            <w:r>
              <w:t xml:space="preserve">Players are expected to share rooms.  </w:t>
            </w:r>
            <w:r w:rsidR="00B34FBF">
              <w:t>All accommodation will be signed off by the DP before booking.</w:t>
            </w:r>
          </w:p>
        </w:tc>
      </w:tr>
      <w:tr w:rsidR="008A4D32" w:rsidTr="008A4D32">
        <w:trPr>
          <w:trHeight w:val="821"/>
        </w:trPr>
        <w:tc>
          <w:tcPr>
            <w:tcW w:w="10863" w:type="dxa"/>
            <w:gridSpan w:val="2"/>
            <w:tcBorders>
              <w:right w:val="single" w:sz="4" w:space="0" w:color="auto"/>
            </w:tcBorders>
          </w:tcPr>
          <w:p w:rsidR="008A4D32" w:rsidRDefault="008A4D32" w:rsidP="00B34FBF">
            <w:pPr>
              <w:jc w:val="center"/>
            </w:pPr>
            <w:r>
              <w:t xml:space="preserve">Hotel booking – Captains will search reputable hotels, these should be booked at least 2 months in advance, with breakfast included, to get best available rates. Air </w:t>
            </w:r>
            <w:proofErr w:type="spellStart"/>
            <w:r>
              <w:t>bnb</w:t>
            </w:r>
            <w:proofErr w:type="spellEnd"/>
            <w:r>
              <w:t>/Owners Direct bookings are acceptable for senior county cup events.</w:t>
            </w:r>
          </w:p>
        </w:tc>
      </w:tr>
      <w:tr w:rsidR="00656BB7" w:rsidTr="00D36022">
        <w:tc>
          <w:tcPr>
            <w:tcW w:w="10863" w:type="dxa"/>
            <w:gridSpan w:val="2"/>
            <w:tcBorders>
              <w:left w:val="nil"/>
              <w:right w:val="nil"/>
            </w:tcBorders>
          </w:tcPr>
          <w:p w:rsidR="007E2709" w:rsidRDefault="007E2709" w:rsidP="00CB4B19"/>
        </w:tc>
      </w:tr>
      <w:tr w:rsidR="00656BB7" w:rsidTr="00D36022">
        <w:tc>
          <w:tcPr>
            <w:tcW w:w="10863" w:type="dxa"/>
            <w:gridSpan w:val="2"/>
            <w:tcBorders>
              <w:right w:val="single" w:sz="4" w:space="0" w:color="auto"/>
            </w:tcBorders>
          </w:tcPr>
          <w:p w:rsidR="00656BB7" w:rsidRDefault="00656BB7" w:rsidP="007412CA">
            <w:pPr>
              <w:jc w:val="center"/>
            </w:pPr>
            <w:r>
              <w:rPr>
                <w:b/>
              </w:rPr>
              <w:t>SUBSISTENCE – onl</w:t>
            </w:r>
            <w:r w:rsidR="00235123">
              <w:rPr>
                <w:b/>
              </w:rPr>
              <w:t xml:space="preserve">y applies to Senior players </w:t>
            </w:r>
          </w:p>
        </w:tc>
      </w:tr>
      <w:tr w:rsidR="00656BB7" w:rsidTr="00D36022">
        <w:tc>
          <w:tcPr>
            <w:tcW w:w="10863" w:type="dxa"/>
            <w:gridSpan w:val="2"/>
            <w:tcBorders>
              <w:right w:val="single" w:sz="4" w:space="0" w:color="auto"/>
            </w:tcBorders>
          </w:tcPr>
          <w:p w:rsidR="00CB4B19" w:rsidRDefault="00656BB7" w:rsidP="00CB4B19">
            <w:pPr>
              <w:jc w:val="center"/>
            </w:pPr>
            <w:r>
              <w:t>In addition to Accommodation</w:t>
            </w:r>
            <w:r w:rsidR="00532B98">
              <w:t>,</w:t>
            </w:r>
            <w:r>
              <w:t xml:space="preserve"> as stated above, subsistence </w:t>
            </w:r>
            <w:r w:rsidR="0092591A">
              <w:t>will be paid to</w:t>
            </w:r>
            <w:r>
              <w:t xml:space="preserve"> Senior players</w:t>
            </w:r>
            <w:r w:rsidR="00CB4B19">
              <w:t xml:space="preserve"> at Summer County Cup</w:t>
            </w:r>
            <w:r w:rsidR="00AD4C60">
              <w:t xml:space="preserve"> </w:t>
            </w:r>
            <w:r w:rsidR="00CB4B19">
              <w:t>at £8</w:t>
            </w:r>
            <w:r w:rsidR="00AD4C60">
              <w:t xml:space="preserve">0 for </w:t>
            </w:r>
            <w:r w:rsidR="00CB4B19">
              <w:t>the week (pro rata where applicable)</w:t>
            </w:r>
            <w:r w:rsidR="00AD4C60">
              <w:t>.</w:t>
            </w:r>
            <w:r w:rsidR="00CB4B19">
              <w:t xml:space="preserve"> </w:t>
            </w:r>
            <w:r w:rsidR="0092591A">
              <w:t>At the end of the event it is the responsibility of the Captains to submit a list of players and to confirm the number of days played to the F</w:t>
            </w:r>
            <w:r w:rsidR="00CB4B19">
              <w:t>inance Officer Maryna Jones:</w:t>
            </w:r>
            <w:r w:rsidR="0092591A">
              <w:t xml:space="preserve"> </w:t>
            </w:r>
            <w:hyperlink r:id="rId9" w:history="1">
              <w:r w:rsidR="00CB4B19" w:rsidRPr="002603B4">
                <w:rPr>
                  <w:rStyle w:val="Hyperlink"/>
                </w:rPr>
                <w:t>Maryna.Jones@tenniswales.org.uk</w:t>
              </w:r>
            </w:hyperlink>
            <w:r w:rsidR="00CB4B19">
              <w:t>.</w:t>
            </w:r>
          </w:p>
          <w:p w:rsidR="00CB4B19" w:rsidRDefault="00CB4B19" w:rsidP="00CB4B19">
            <w:pPr>
              <w:jc w:val="center"/>
            </w:pPr>
            <w:r>
              <w:t xml:space="preserve">No subsistence will be paid for Winter County Cup. </w:t>
            </w:r>
          </w:p>
          <w:p w:rsidR="00656BB7" w:rsidRDefault="00CB4B19" w:rsidP="00CB4B19">
            <w:pPr>
              <w:jc w:val="center"/>
            </w:pPr>
            <w:r>
              <w:t xml:space="preserve">No groundsman fees or physio costs will be reimbursed for senior events. </w:t>
            </w:r>
            <w:r w:rsidR="00C74BB2">
              <w:t>Kit/hoodies can be purchased through suppliers at a cost to players.</w:t>
            </w:r>
          </w:p>
        </w:tc>
      </w:tr>
    </w:tbl>
    <w:p w:rsidR="00FF6462" w:rsidRPr="008A4D32" w:rsidRDefault="00FF6462" w:rsidP="00544E82">
      <w:pPr>
        <w:jc w:val="center"/>
        <w:rPr>
          <w:sz w:val="16"/>
          <w:szCs w:val="16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5616"/>
        <w:gridCol w:w="5300"/>
      </w:tblGrid>
      <w:tr w:rsidR="00902C01" w:rsidTr="00C74BB2">
        <w:tc>
          <w:tcPr>
            <w:tcW w:w="5616" w:type="dxa"/>
            <w:vAlign w:val="center"/>
          </w:tcPr>
          <w:p w:rsidR="00902C01" w:rsidRDefault="00902C01" w:rsidP="008C10B8">
            <w:pPr>
              <w:jc w:val="left"/>
            </w:pPr>
            <w:r>
              <w:t xml:space="preserve">EFFECTIVE DATE : </w:t>
            </w:r>
            <w:r w:rsidR="00297172">
              <w:t>1st</w:t>
            </w:r>
            <w:r w:rsidR="00FC1D0F">
              <w:t xml:space="preserve"> </w:t>
            </w:r>
            <w:r w:rsidR="008C10B8">
              <w:t xml:space="preserve">October </w:t>
            </w:r>
            <w:r w:rsidR="00297172">
              <w:t>2018</w:t>
            </w:r>
          </w:p>
        </w:tc>
        <w:tc>
          <w:tcPr>
            <w:tcW w:w="5300" w:type="dxa"/>
            <w:vAlign w:val="center"/>
          </w:tcPr>
          <w:p w:rsidR="00902C01" w:rsidRDefault="00902C01" w:rsidP="00297172">
            <w:pPr>
              <w:jc w:val="right"/>
            </w:pPr>
            <w:r>
              <w:t xml:space="preserve">REVIEW DATE : </w:t>
            </w:r>
            <w:r w:rsidR="007643CA">
              <w:t>October</w:t>
            </w:r>
            <w:r w:rsidR="00297172">
              <w:t xml:space="preserve"> 2019</w:t>
            </w:r>
          </w:p>
        </w:tc>
      </w:tr>
    </w:tbl>
    <w:p w:rsidR="00902C01" w:rsidRDefault="00902C01" w:rsidP="00297172">
      <w:bookmarkStart w:id="0" w:name="_GoBack"/>
      <w:bookmarkEnd w:id="0"/>
    </w:p>
    <w:sectPr w:rsidR="00902C01" w:rsidSect="00544E82">
      <w:pgSz w:w="11906" w:h="16838" w:code="9"/>
      <w:pgMar w:top="567" w:right="567" w:bottom="567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A8" w:rsidRDefault="00C77DA8" w:rsidP="00ED54A9">
      <w:r>
        <w:separator/>
      </w:r>
    </w:p>
  </w:endnote>
  <w:endnote w:type="continuationSeparator" w:id="0">
    <w:p w:rsidR="00C77DA8" w:rsidRDefault="00C77DA8" w:rsidP="00ED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A8" w:rsidRDefault="00C77DA8" w:rsidP="00ED54A9">
      <w:r>
        <w:separator/>
      </w:r>
    </w:p>
  </w:footnote>
  <w:footnote w:type="continuationSeparator" w:id="0">
    <w:p w:rsidR="00C77DA8" w:rsidRDefault="00C77DA8" w:rsidP="00ED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2A6D"/>
    <w:multiLevelType w:val="hybridMultilevel"/>
    <w:tmpl w:val="ACB06A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37D1B"/>
    <w:multiLevelType w:val="hybridMultilevel"/>
    <w:tmpl w:val="71C8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B3"/>
    <w:rsid w:val="000432D2"/>
    <w:rsid w:val="000A3C77"/>
    <w:rsid w:val="00103415"/>
    <w:rsid w:val="00120A00"/>
    <w:rsid w:val="001D40A4"/>
    <w:rsid w:val="001D6745"/>
    <w:rsid w:val="00235123"/>
    <w:rsid w:val="0023582C"/>
    <w:rsid w:val="0029542C"/>
    <w:rsid w:val="00295485"/>
    <w:rsid w:val="00297172"/>
    <w:rsid w:val="002F502B"/>
    <w:rsid w:val="003A68A2"/>
    <w:rsid w:val="00406529"/>
    <w:rsid w:val="00451169"/>
    <w:rsid w:val="004B1587"/>
    <w:rsid w:val="004B5639"/>
    <w:rsid w:val="00532B98"/>
    <w:rsid w:val="00544E82"/>
    <w:rsid w:val="005C4B35"/>
    <w:rsid w:val="006113A5"/>
    <w:rsid w:val="00627F6B"/>
    <w:rsid w:val="00631671"/>
    <w:rsid w:val="00656BB7"/>
    <w:rsid w:val="0068490D"/>
    <w:rsid w:val="00696756"/>
    <w:rsid w:val="00697A4F"/>
    <w:rsid w:val="006D50CF"/>
    <w:rsid w:val="00722CBB"/>
    <w:rsid w:val="00724DEF"/>
    <w:rsid w:val="007412CA"/>
    <w:rsid w:val="007643CA"/>
    <w:rsid w:val="007E2709"/>
    <w:rsid w:val="00810F87"/>
    <w:rsid w:val="00840788"/>
    <w:rsid w:val="008915B3"/>
    <w:rsid w:val="008A4D32"/>
    <w:rsid w:val="008C10B8"/>
    <w:rsid w:val="00902C01"/>
    <w:rsid w:val="0092591A"/>
    <w:rsid w:val="009406F3"/>
    <w:rsid w:val="009860E6"/>
    <w:rsid w:val="009F1F53"/>
    <w:rsid w:val="00A31FF9"/>
    <w:rsid w:val="00AB31D0"/>
    <w:rsid w:val="00AD4C60"/>
    <w:rsid w:val="00B24CD1"/>
    <w:rsid w:val="00B34FBF"/>
    <w:rsid w:val="00B4212A"/>
    <w:rsid w:val="00B73C13"/>
    <w:rsid w:val="00BB5A77"/>
    <w:rsid w:val="00BC7A4B"/>
    <w:rsid w:val="00C030BC"/>
    <w:rsid w:val="00C74BB2"/>
    <w:rsid w:val="00C77DA8"/>
    <w:rsid w:val="00CB4B19"/>
    <w:rsid w:val="00CE28E1"/>
    <w:rsid w:val="00D36022"/>
    <w:rsid w:val="00D4799A"/>
    <w:rsid w:val="00D82880"/>
    <w:rsid w:val="00DB4145"/>
    <w:rsid w:val="00E07467"/>
    <w:rsid w:val="00ED54A9"/>
    <w:rsid w:val="00F55A63"/>
    <w:rsid w:val="00FC1D0F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A5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4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4A9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ED5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4A9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B73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A5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4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4A9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ED5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4A9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B73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yna.Jones@tenniswal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5AE91-A943-4A5E-9098-DE76F272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Maria Rees</cp:lastModifiedBy>
  <cp:revision>2</cp:revision>
  <cp:lastPrinted>2016-07-11T13:03:00Z</cp:lastPrinted>
  <dcterms:created xsi:type="dcterms:W3CDTF">2018-10-04T10:25:00Z</dcterms:created>
  <dcterms:modified xsi:type="dcterms:W3CDTF">2018-10-04T10:25:00Z</dcterms:modified>
</cp:coreProperties>
</file>