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vertAnchor="page" w:tblpY="1584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488"/>
      </w:tblGrid>
      <w:tr w:rsidR="00F509A7" w:rsidRPr="00160892">
        <w:trPr>
          <w:trHeight w:val="284"/>
        </w:trPr>
        <w:tc>
          <w:tcPr>
            <w:tcW w:w="7488" w:type="dxa"/>
          </w:tcPr>
          <w:p w:rsidR="00F509A7" w:rsidRPr="00160892" w:rsidRDefault="00160892" w:rsidP="00160892">
            <w:pPr>
              <w:pStyle w:val="FooterRef"/>
              <w:jc w:val="both"/>
              <w:rPr>
                <w:color w:val="16316F"/>
                <w:sz w:val="20"/>
                <w:szCs w:val="22"/>
              </w:rPr>
            </w:pPr>
            <w:bookmarkStart w:id="0" w:name="_GoBack"/>
            <w:bookmarkEnd w:id="0"/>
            <w:r w:rsidRPr="00160892">
              <w:rPr>
                <w:color w:val="16316F"/>
                <w:sz w:val="20"/>
                <w:szCs w:val="22"/>
              </w:rPr>
              <w:t>Regional Training Selection Policy – June 2019</w:t>
            </w:r>
          </w:p>
        </w:tc>
      </w:tr>
    </w:tbl>
    <w:p w:rsidR="00731349" w:rsidRDefault="00731349" w:rsidP="00160892">
      <w:pPr>
        <w:spacing w:line="285" w:lineRule="atLeast"/>
        <w:jc w:val="both"/>
        <w:rPr>
          <w:rFonts w:eastAsia="Times New Roman" w:cs="Arial"/>
          <w:b/>
          <w:bCs/>
          <w:color w:val="000000"/>
          <w:szCs w:val="22"/>
          <w:u w:val="single"/>
          <w:lang w:eastAsia="en-GB"/>
        </w:rPr>
      </w:pPr>
      <w:r w:rsidRPr="00160892">
        <w:rPr>
          <w:rFonts w:eastAsia="Times New Roman" w:cs="Arial"/>
          <w:b/>
          <w:bCs/>
          <w:color w:val="000000"/>
          <w:szCs w:val="22"/>
          <w:u w:val="single"/>
          <w:lang w:eastAsia="en-GB"/>
        </w:rPr>
        <w:t>Regional Training</w:t>
      </w:r>
      <w:r w:rsidR="00171E65" w:rsidRPr="00160892">
        <w:rPr>
          <w:rFonts w:eastAsia="Times New Roman" w:cs="Arial"/>
          <w:b/>
          <w:bCs/>
          <w:color w:val="000000"/>
          <w:szCs w:val="22"/>
          <w:u w:val="single"/>
          <w:lang w:eastAsia="en-GB"/>
        </w:rPr>
        <w:t xml:space="preserve"> Selection Policy</w:t>
      </w:r>
    </w:p>
    <w:p w:rsidR="00160892" w:rsidRPr="00160892" w:rsidRDefault="00160892" w:rsidP="00160892">
      <w:pPr>
        <w:spacing w:line="285" w:lineRule="atLeast"/>
        <w:jc w:val="both"/>
        <w:rPr>
          <w:rFonts w:eastAsia="Times New Roman" w:cs="Arial"/>
          <w:b/>
          <w:bCs/>
          <w:color w:val="000000"/>
          <w:szCs w:val="22"/>
          <w:u w:val="single"/>
          <w:lang w:eastAsia="en-GB"/>
        </w:rPr>
      </w:pPr>
    </w:p>
    <w:p w:rsidR="00731349" w:rsidRPr="00160892" w:rsidRDefault="00731349" w:rsidP="00160892">
      <w:pPr>
        <w:pStyle w:val="ListParagraph"/>
        <w:numPr>
          <w:ilvl w:val="0"/>
          <w:numId w:val="24"/>
        </w:numPr>
        <w:spacing w:line="285" w:lineRule="atLeast"/>
        <w:jc w:val="both"/>
        <w:rPr>
          <w:rFonts w:eastAsia="Times New Roman" w:cs="Arial"/>
          <w:b/>
          <w:bCs/>
          <w:color w:val="000000"/>
          <w:szCs w:val="22"/>
          <w:u w:val="single"/>
          <w:lang w:eastAsia="en-GB"/>
        </w:rPr>
      </w:pPr>
      <w:r w:rsidRPr="00160892">
        <w:rPr>
          <w:rFonts w:eastAsia="Times New Roman" w:cs="Arial"/>
          <w:b/>
          <w:bCs/>
          <w:color w:val="000000"/>
          <w:szCs w:val="22"/>
          <w:u w:val="single"/>
          <w:lang w:eastAsia="en-GB"/>
        </w:rPr>
        <w:t>Introduction</w:t>
      </w:r>
    </w:p>
    <w:p w:rsidR="00160892" w:rsidRDefault="00160892" w:rsidP="00160892">
      <w:pPr>
        <w:spacing w:line="270" w:lineRule="atLeast"/>
        <w:jc w:val="both"/>
        <w:rPr>
          <w:rFonts w:eastAsia="Times New Roman" w:cs="Arial"/>
          <w:color w:val="000000"/>
          <w:szCs w:val="22"/>
          <w:lang w:eastAsia="en-GB"/>
        </w:rPr>
      </w:pPr>
    </w:p>
    <w:p w:rsidR="00731349" w:rsidRDefault="00731349" w:rsidP="00160892">
      <w:pPr>
        <w:spacing w:line="270" w:lineRule="atLeast"/>
        <w:jc w:val="both"/>
        <w:rPr>
          <w:rFonts w:eastAsia="Times New Roman" w:cs="Arial"/>
          <w:color w:val="000000"/>
          <w:szCs w:val="22"/>
          <w:lang w:eastAsia="en-GB"/>
        </w:rPr>
      </w:pPr>
      <w:r w:rsidRPr="00160892">
        <w:rPr>
          <w:rFonts w:eastAsia="Times New Roman" w:cs="Arial"/>
          <w:color w:val="000000"/>
          <w:szCs w:val="22"/>
          <w:lang w:eastAsia="en-GB"/>
        </w:rPr>
        <w:t>Regional Training is focused</w:t>
      </w:r>
      <w:r w:rsidR="005763EA" w:rsidRPr="00160892">
        <w:rPr>
          <w:rFonts w:eastAsia="Times New Roman" w:cs="Arial"/>
          <w:color w:val="000000"/>
          <w:szCs w:val="22"/>
          <w:lang w:eastAsia="en-GB"/>
        </w:rPr>
        <w:t xml:space="preserve"> (RT)</w:t>
      </w:r>
      <w:r w:rsidRPr="00160892">
        <w:rPr>
          <w:rFonts w:eastAsia="Times New Roman" w:cs="Arial"/>
          <w:color w:val="000000"/>
          <w:szCs w:val="22"/>
          <w:lang w:eastAsia="en-GB"/>
        </w:rPr>
        <w:t xml:space="preserve"> on providing exceptional training and competition opportunities for junior players in order to support their development towards selection for the National Age Group Programme (NAGP) and National Academies.</w:t>
      </w:r>
    </w:p>
    <w:p w:rsidR="00160892" w:rsidRPr="00160892" w:rsidRDefault="00160892" w:rsidP="00160892">
      <w:pPr>
        <w:spacing w:line="270" w:lineRule="atLeast"/>
        <w:jc w:val="both"/>
        <w:rPr>
          <w:rFonts w:eastAsia="Times New Roman" w:cs="Arial"/>
          <w:color w:val="000000"/>
          <w:szCs w:val="22"/>
          <w:lang w:eastAsia="en-GB"/>
        </w:rPr>
      </w:pPr>
    </w:p>
    <w:p w:rsidR="00731349" w:rsidRDefault="00731349" w:rsidP="00160892">
      <w:pPr>
        <w:spacing w:line="270" w:lineRule="atLeast"/>
        <w:jc w:val="both"/>
        <w:rPr>
          <w:rFonts w:eastAsia="Times New Roman" w:cs="Arial"/>
          <w:color w:val="000000"/>
          <w:szCs w:val="22"/>
          <w:lang w:eastAsia="en-GB"/>
        </w:rPr>
      </w:pPr>
      <w:r w:rsidRPr="00160892">
        <w:rPr>
          <w:rFonts w:eastAsia="Times New Roman" w:cs="Arial"/>
          <w:color w:val="000000"/>
          <w:szCs w:val="22"/>
          <w:lang w:eastAsia="en-GB"/>
        </w:rPr>
        <w:t>The aim is to provide each region’s best junior players the opportunity to train together on a regular basis as well as providing competitive match play opportunities between regions.</w:t>
      </w:r>
    </w:p>
    <w:p w:rsidR="00160892" w:rsidRPr="00160892" w:rsidRDefault="00160892" w:rsidP="00160892">
      <w:pPr>
        <w:spacing w:line="270" w:lineRule="atLeast"/>
        <w:jc w:val="both"/>
        <w:rPr>
          <w:rFonts w:eastAsia="Times New Roman" w:cs="Arial"/>
          <w:color w:val="000000"/>
          <w:szCs w:val="22"/>
          <w:lang w:eastAsia="en-GB"/>
        </w:rPr>
      </w:pPr>
    </w:p>
    <w:p w:rsidR="00731349" w:rsidRDefault="00731349" w:rsidP="00160892">
      <w:pPr>
        <w:spacing w:line="270" w:lineRule="atLeast"/>
        <w:jc w:val="both"/>
        <w:rPr>
          <w:rFonts w:eastAsia="Times New Roman" w:cs="Arial"/>
          <w:color w:val="000000"/>
          <w:szCs w:val="22"/>
          <w:lang w:eastAsia="en-GB"/>
        </w:rPr>
      </w:pPr>
      <w:r w:rsidRPr="00160892">
        <w:rPr>
          <w:rFonts w:eastAsia="Times New Roman" w:cs="Arial"/>
          <w:color w:val="000000"/>
          <w:szCs w:val="22"/>
          <w:lang w:eastAsia="en-GB"/>
        </w:rPr>
        <w:t xml:space="preserve">This document outlines the criteria and process for gaining </w:t>
      </w:r>
      <w:r w:rsidR="005763EA" w:rsidRPr="00160892">
        <w:rPr>
          <w:rFonts w:eastAsia="Times New Roman" w:cs="Arial"/>
          <w:color w:val="000000"/>
          <w:szCs w:val="22"/>
          <w:lang w:eastAsia="en-GB"/>
        </w:rPr>
        <w:t xml:space="preserve">selection for </w:t>
      </w:r>
      <w:r w:rsidRPr="00160892">
        <w:rPr>
          <w:rFonts w:eastAsia="Times New Roman" w:cs="Arial"/>
          <w:color w:val="000000"/>
          <w:szCs w:val="22"/>
          <w:lang w:eastAsia="en-GB"/>
        </w:rPr>
        <w:t xml:space="preserve">RT for the period 1 September 2019 to 31 </w:t>
      </w:r>
      <w:r w:rsidR="00004ABA" w:rsidRPr="00160892">
        <w:rPr>
          <w:rFonts w:eastAsia="Times New Roman" w:cs="Arial"/>
          <w:color w:val="000000"/>
          <w:szCs w:val="22"/>
          <w:lang w:eastAsia="en-GB"/>
        </w:rPr>
        <w:t xml:space="preserve">July </w:t>
      </w:r>
      <w:r w:rsidRPr="00160892">
        <w:rPr>
          <w:rFonts w:eastAsia="Times New Roman" w:cs="Arial"/>
          <w:color w:val="000000"/>
          <w:szCs w:val="22"/>
          <w:lang w:eastAsia="en-GB"/>
        </w:rPr>
        <w:t>2020.</w:t>
      </w:r>
      <w:r w:rsidR="005763EA" w:rsidRPr="00160892">
        <w:rPr>
          <w:rFonts w:eastAsia="Times New Roman" w:cs="Arial"/>
          <w:color w:val="000000"/>
          <w:szCs w:val="22"/>
          <w:lang w:eastAsia="en-GB"/>
        </w:rPr>
        <w:t xml:space="preserve"> </w:t>
      </w:r>
      <w:r w:rsidR="00171E65" w:rsidRPr="00160892">
        <w:rPr>
          <w:rFonts w:eastAsia="Times New Roman" w:cs="Arial"/>
          <w:color w:val="000000"/>
          <w:szCs w:val="22"/>
          <w:lang w:eastAsia="en-GB"/>
        </w:rPr>
        <w:t xml:space="preserve">Selection for </w:t>
      </w:r>
      <w:r w:rsidRPr="00160892">
        <w:rPr>
          <w:rFonts w:eastAsia="Times New Roman" w:cs="Arial"/>
          <w:color w:val="000000"/>
          <w:szCs w:val="22"/>
          <w:lang w:eastAsia="en-GB"/>
        </w:rPr>
        <w:t xml:space="preserve">RT </w:t>
      </w:r>
      <w:r w:rsidR="00881150" w:rsidRPr="00160892">
        <w:rPr>
          <w:rFonts w:eastAsia="Times New Roman" w:cs="Arial"/>
          <w:color w:val="000000"/>
          <w:szCs w:val="22"/>
          <w:lang w:eastAsia="en-GB"/>
        </w:rPr>
        <w:t>is</w:t>
      </w:r>
      <w:r w:rsidRPr="00160892">
        <w:rPr>
          <w:rFonts w:eastAsia="Times New Roman" w:cs="Arial"/>
          <w:color w:val="000000"/>
          <w:szCs w:val="22"/>
          <w:lang w:eastAsia="en-GB"/>
        </w:rPr>
        <w:t xml:space="preserve"> for period</w:t>
      </w:r>
      <w:r w:rsidR="00004ABA" w:rsidRPr="00160892">
        <w:rPr>
          <w:rFonts w:eastAsia="Times New Roman" w:cs="Arial"/>
          <w:color w:val="000000"/>
          <w:szCs w:val="22"/>
          <w:lang w:eastAsia="en-GB"/>
        </w:rPr>
        <w:t xml:space="preserve"> outlined above</w:t>
      </w:r>
      <w:r w:rsidRPr="00160892">
        <w:rPr>
          <w:rFonts w:eastAsia="Times New Roman" w:cs="Arial"/>
          <w:color w:val="000000"/>
          <w:szCs w:val="22"/>
          <w:lang w:eastAsia="en-GB"/>
        </w:rPr>
        <w:t xml:space="preserve">; however a player’s status will be continually reviewed around the </w:t>
      </w:r>
      <w:r w:rsidR="0001062E" w:rsidRPr="00160892">
        <w:rPr>
          <w:rFonts w:eastAsia="Times New Roman" w:cs="Arial"/>
          <w:color w:val="000000"/>
          <w:szCs w:val="22"/>
          <w:lang w:eastAsia="en-GB"/>
        </w:rPr>
        <w:t xml:space="preserve">factors </w:t>
      </w:r>
      <w:r w:rsidRPr="00160892">
        <w:rPr>
          <w:rFonts w:eastAsia="Times New Roman" w:cs="Arial"/>
          <w:color w:val="000000"/>
          <w:szCs w:val="22"/>
          <w:lang w:eastAsia="en-GB"/>
        </w:rPr>
        <w:t xml:space="preserve">outlined in section </w:t>
      </w:r>
      <w:r w:rsidR="0001062E" w:rsidRPr="00160892">
        <w:rPr>
          <w:rFonts w:eastAsia="Times New Roman" w:cs="Arial"/>
          <w:color w:val="000000"/>
          <w:szCs w:val="22"/>
          <w:lang w:eastAsia="en-GB"/>
        </w:rPr>
        <w:t>4</w:t>
      </w:r>
      <w:r w:rsidRPr="00160892">
        <w:rPr>
          <w:rFonts w:eastAsia="Times New Roman" w:cs="Arial"/>
          <w:color w:val="000000"/>
          <w:szCs w:val="22"/>
          <w:lang w:eastAsia="en-GB"/>
        </w:rPr>
        <w:t>.</w:t>
      </w:r>
    </w:p>
    <w:p w:rsidR="00160892" w:rsidRPr="00160892" w:rsidRDefault="00160892" w:rsidP="00160892">
      <w:pPr>
        <w:spacing w:line="270" w:lineRule="atLeast"/>
        <w:jc w:val="both"/>
        <w:rPr>
          <w:rFonts w:eastAsia="Times New Roman" w:cs="Arial"/>
          <w:color w:val="000000"/>
          <w:szCs w:val="22"/>
          <w:lang w:eastAsia="en-GB"/>
        </w:rPr>
      </w:pPr>
    </w:p>
    <w:p w:rsidR="00B017DE" w:rsidRPr="00160892" w:rsidRDefault="00B017DE" w:rsidP="00160892">
      <w:pPr>
        <w:pStyle w:val="ListParagraph"/>
        <w:numPr>
          <w:ilvl w:val="0"/>
          <w:numId w:val="24"/>
        </w:numPr>
        <w:spacing w:line="285" w:lineRule="atLeast"/>
        <w:jc w:val="both"/>
        <w:rPr>
          <w:rFonts w:eastAsia="Times New Roman" w:cs="Arial"/>
          <w:b/>
          <w:bCs/>
          <w:color w:val="000000"/>
          <w:szCs w:val="22"/>
          <w:u w:val="single"/>
          <w:lang w:eastAsia="en-GB"/>
        </w:rPr>
      </w:pPr>
      <w:r w:rsidRPr="00160892">
        <w:rPr>
          <w:rFonts w:eastAsia="Times New Roman" w:cs="Arial"/>
          <w:b/>
          <w:bCs/>
          <w:color w:val="000000"/>
          <w:szCs w:val="22"/>
          <w:u w:val="single"/>
          <w:lang w:eastAsia="en-GB"/>
        </w:rPr>
        <w:t>Allocation of places</w:t>
      </w:r>
    </w:p>
    <w:p w:rsidR="00160892" w:rsidRDefault="00160892" w:rsidP="00160892">
      <w:pPr>
        <w:spacing w:line="270" w:lineRule="atLeast"/>
        <w:jc w:val="both"/>
        <w:rPr>
          <w:rFonts w:eastAsia="Times New Roman" w:cs="Arial"/>
          <w:color w:val="000000"/>
          <w:szCs w:val="22"/>
          <w:lang w:eastAsia="en-GB"/>
        </w:rPr>
      </w:pPr>
    </w:p>
    <w:p w:rsidR="00160892" w:rsidRDefault="00B017DE" w:rsidP="00160892">
      <w:pPr>
        <w:spacing w:line="270" w:lineRule="atLeast"/>
        <w:jc w:val="both"/>
        <w:rPr>
          <w:rFonts w:eastAsia="Times New Roman" w:cs="Arial"/>
          <w:color w:val="000000"/>
          <w:szCs w:val="22"/>
          <w:lang w:eastAsia="en-GB"/>
        </w:rPr>
      </w:pPr>
      <w:r w:rsidRPr="00160892">
        <w:rPr>
          <w:rFonts w:eastAsia="Times New Roman" w:cs="Arial"/>
          <w:color w:val="000000"/>
          <w:szCs w:val="22"/>
          <w:lang w:eastAsia="en-GB"/>
        </w:rPr>
        <w:t xml:space="preserve">A maximum of 200 players will be invited to attend RT at one of six regional groups across the country. </w:t>
      </w:r>
    </w:p>
    <w:p w:rsidR="00160892" w:rsidRDefault="00160892" w:rsidP="00160892">
      <w:pPr>
        <w:spacing w:line="270" w:lineRule="atLeast"/>
        <w:jc w:val="both"/>
        <w:rPr>
          <w:rFonts w:eastAsia="Times New Roman" w:cs="Arial"/>
          <w:color w:val="000000"/>
          <w:szCs w:val="22"/>
          <w:lang w:eastAsia="en-GB"/>
        </w:rPr>
      </w:pPr>
    </w:p>
    <w:p w:rsidR="00B017DE" w:rsidRDefault="004322A1" w:rsidP="00160892">
      <w:pPr>
        <w:spacing w:line="270" w:lineRule="atLeast"/>
        <w:jc w:val="both"/>
        <w:rPr>
          <w:rFonts w:eastAsia="Times New Roman" w:cs="Arial"/>
          <w:color w:val="000000"/>
          <w:szCs w:val="22"/>
          <w:lang w:eastAsia="en-GB"/>
        </w:rPr>
      </w:pPr>
      <w:r w:rsidRPr="00160892">
        <w:rPr>
          <w:rFonts w:eastAsia="Times New Roman" w:cs="Arial"/>
          <w:color w:val="000000"/>
          <w:szCs w:val="22"/>
          <w:lang w:eastAsia="en-GB"/>
        </w:rPr>
        <w:t>Each RT will</w:t>
      </w:r>
      <w:r w:rsidR="00B017DE" w:rsidRPr="00160892">
        <w:rPr>
          <w:rFonts w:eastAsia="Times New Roman" w:cs="Arial"/>
          <w:color w:val="000000"/>
          <w:szCs w:val="22"/>
          <w:lang w:eastAsia="en-GB"/>
        </w:rPr>
        <w:t xml:space="preserve"> operate </w:t>
      </w:r>
      <w:r w:rsidR="005763EA" w:rsidRPr="00160892">
        <w:rPr>
          <w:rFonts w:eastAsia="Times New Roman" w:cs="Arial"/>
          <w:color w:val="000000"/>
          <w:szCs w:val="22"/>
          <w:lang w:eastAsia="en-GB"/>
        </w:rPr>
        <w:t xml:space="preserve">with </w:t>
      </w:r>
      <w:r w:rsidR="00B017DE" w:rsidRPr="00160892">
        <w:rPr>
          <w:rFonts w:eastAsia="Times New Roman" w:cs="Arial"/>
          <w:color w:val="000000"/>
          <w:szCs w:val="22"/>
          <w:lang w:eastAsia="en-GB"/>
        </w:rPr>
        <w:t>a minimum of 20 players and a maximum of 40 players. There is no obligation to fill every available place.</w:t>
      </w:r>
    </w:p>
    <w:p w:rsidR="00160892" w:rsidRPr="00160892" w:rsidRDefault="00160892" w:rsidP="00160892">
      <w:pPr>
        <w:spacing w:line="270" w:lineRule="atLeast"/>
        <w:jc w:val="both"/>
        <w:rPr>
          <w:rFonts w:eastAsia="Times New Roman" w:cs="Arial"/>
          <w:color w:val="000000"/>
          <w:szCs w:val="22"/>
          <w:lang w:eastAsia="en-GB"/>
        </w:rPr>
      </w:pPr>
    </w:p>
    <w:p w:rsidR="00B017DE" w:rsidRDefault="00B017DE" w:rsidP="00160892">
      <w:pPr>
        <w:spacing w:line="270" w:lineRule="atLeast"/>
        <w:jc w:val="both"/>
        <w:rPr>
          <w:rFonts w:eastAsia="Times New Roman" w:cs="Arial"/>
          <w:color w:val="000000"/>
          <w:szCs w:val="22"/>
          <w:lang w:eastAsia="en-GB"/>
        </w:rPr>
      </w:pPr>
      <w:r w:rsidRPr="00160892">
        <w:rPr>
          <w:rFonts w:eastAsia="Times New Roman" w:cs="Arial"/>
          <w:color w:val="000000"/>
          <w:szCs w:val="22"/>
          <w:lang w:eastAsia="en-GB"/>
        </w:rPr>
        <w:t>Where possible, places will be split equally across boys and girls. In the event that there are fewer players of a particular gender than places available, the remaining RT places may be taken up by the other gender.</w:t>
      </w:r>
    </w:p>
    <w:p w:rsidR="00160892" w:rsidRPr="00160892" w:rsidRDefault="00160892" w:rsidP="00160892">
      <w:pPr>
        <w:spacing w:line="270" w:lineRule="atLeast"/>
        <w:jc w:val="both"/>
        <w:rPr>
          <w:rFonts w:eastAsia="Times New Roman" w:cs="Arial"/>
          <w:color w:val="000000"/>
          <w:szCs w:val="22"/>
          <w:lang w:eastAsia="en-GB"/>
        </w:rPr>
      </w:pPr>
    </w:p>
    <w:p w:rsidR="0001062E" w:rsidRDefault="0001062E" w:rsidP="00160892">
      <w:pPr>
        <w:spacing w:line="270" w:lineRule="atLeast"/>
        <w:jc w:val="both"/>
        <w:rPr>
          <w:rFonts w:eastAsia="Times New Roman" w:cs="Arial"/>
          <w:color w:val="000000"/>
          <w:szCs w:val="22"/>
          <w:lang w:eastAsia="en-GB"/>
        </w:rPr>
      </w:pPr>
      <w:r w:rsidRPr="00160892">
        <w:rPr>
          <w:rFonts w:eastAsia="Times New Roman" w:cs="Arial"/>
          <w:color w:val="000000"/>
          <w:szCs w:val="22"/>
          <w:lang w:eastAsia="en-GB"/>
        </w:rPr>
        <w:t>Players will be eligible for selection for RT in the region in which they reside. In England, the five regions are made up of the following counties:</w:t>
      </w:r>
    </w:p>
    <w:p w:rsidR="00160892" w:rsidRPr="00160892" w:rsidRDefault="00160892" w:rsidP="00160892">
      <w:pPr>
        <w:spacing w:line="270" w:lineRule="atLeast"/>
        <w:jc w:val="both"/>
        <w:rPr>
          <w:rFonts w:eastAsia="Times New Roman" w:cs="Arial"/>
          <w:color w:val="000000"/>
          <w:szCs w:val="22"/>
          <w:lang w:eastAsia="en-GB"/>
        </w:rPr>
      </w:pPr>
    </w:p>
    <w:tbl>
      <w:tblPr>
        <w:tblW w:w="9750"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38"/>
        <w:gridCol w:w="7912"/>
      </w:tblGrid>
      <w:tr w:rsidR="00160892" w:rsidRPr="00160892" w:rsidTr="00160892">
        <w:trPr>
          <w:trHeight w:val="315"/>
          <w:tblCellSpacing w:w="0" w:type="dxa"/>
        </w:trPr>
        <w:tc>
          <w:tcPr>
            <w:tcW w:w="1838" w:type="dxa"/>
            <w:vAlign w:val="bottom"/>
            <w:hideMark/>
          </w:tcPr>
          <w:p w:rsidR="00160892" w:rsidRPr="00160892" w:rsidRDefault="00160892" w:rsidP="00160892">
            <w:pPr>
              <w:spacing w:line="285" w:lineRule="atLeast"/>
              <w:jc w:val="both"/>
              <w:rPr>
                <w:rFonts w:eastAsia="Times New Roman" w:cs="Arial"/>
                <w:b/>
                <w:bCs/>
                <w:sz w:val="20"/>
                <w:szCs w:val="22"/>
                <w:lang w:eastAsia="en-GB"/>
              </w:rPr>
            </w:pPr>
            <w:r w:rsidRPr="00160892">
              <w:rPr>
                <w:rFonts w:eastAsia="Times New Roman" w:cs="Arial"/>
                <w:b/>
                <w:bCs/>
                <w:sz w:val="20"/>
                <w:szCs w:val="22"/>
                <w:lang w:eastAsia="en-GB"/>
              </w:rPr>
              <w:t>Region</w:t>
            </w:r>
          </w:p>
        </w:tc>
        <w:tc>
          <w:tcPr>
            <w:tcW w:w="7912" w:type="dxa"/>
            <w:vAlign w:val="bottom"/>
            <w:hideMark/>
          </w:tcPr>
          <w:p w:rsidR="00160892" w:rsidRPr="00160892" w:rsidRDefault="00160892" w:rsidP="00160892">
            <w:pPr>
              <w:spacing w:line="285" w:lineRule="atLeast"/>
              <w:jc w:val="both"/>
              <w:rPr>
                <w:rFonts w:eastAsia="Times New Roman" w:cs="Arial"/>
                <w:b/>
                <w:bCs/>
                <w:sz w:val="20"/>
                <w:szCs w:val="22"/>
                <w:lang w:eastAsia="en-GB"/>
              </w:rPr>
            </w:pPr>
            <w:r w:rsidRPr="00160892">
              <w:rPr>
                <w:rFonts w:eastAsia="Times New Roman" w:cs="Arial"/>
                <w:b/>
                <w:bCs/>
                <w:sz w:val="20"/>
                <w:szCs w:val="22"/>
                <w:lang w:eastAsia="en-GB"/>
              </w:rPr>
              <w:t>Contact</w:t>
            </w:r>
          </w:p>
        </w:tc>
      </w:tr>
      <w:tr w:rsidR="00160892" w:rsidRPr="00160892" w:rsidTr="00160892">
        <w:trPr>
          <w:trHeight w:val="285"/>
          <w:tblCellSpacing w:w="0" w:type="dxa"/>
        </w:trPr>
        <w:tc>
          <w:tcPr>
            <w:tcW w:w="1838" w:type="dxa"/>
            <w:hideMark/>
          </w:tcPr>
          <w:p w:rsidR="00160892" w:rsidRDefault="00160892" w:rsidP="00160892">
            <w:pPr>
              <w:spacing w:line="270" w:lineRule="atLeast"/>
              <w:rPr>
                <w:rFonts w:eastAsia="Times New Roman" w:cs="Arial"/>
                <w:sz w:val="20"/>
                <w:szCs w:val="22"/>
                <w:lang w:eastAsia="en-GB"/>
              </w:rPr>
            </w:pPr>
            <w:r>
              <w:rPr>
                <w:rFonts w:eastAsia="Times New Roman" w:cs="Arial"/>
                <w:sz w:val="20"/>
                <w:szCs w:val="22"/>
                <w:lang w:eastAsia="en-GB"/>
              </w:rPr>
              <w:t>North</w:t>
            </w:r>
          </w:p>
          <w:p w:rsidR="00160892" w:rsidRPr="00160892" w:rsidRDefault="00160892" w:rsidP="00160892">
            <w:pPr>
              <w:spacing w:line="270" w:lineRule="atLeast"/>
              <w:rPr>
                <w:rFonts w:eastAsia="Times New Roman" w:cs="Arial"/>
                <w:i/>
                <w:sz w:val="20"/>
                <w:szCs w:val="22"/>
                <w:lang w:eastAsia="en-GB"/>
              </w:rPr>
            </w:pPr>
            <w:r w:rsidRPr="00160892">
              <w:rPr>
                <w:rFonts w:eastAsia="Times New Roman" w:cs="Arial"/>
                <w:i/>
                <w:sz w:val="20"/>
                <w:szCs w:val="22"/>
                <w:lang w:eastAsia="en-GB"/>
              </w:rPr>
              <w:t xml:space="preserve">inc. </w:t>
            </w:r>
            <w:r>
              <w:rPr>
                <w:rFonts w:eastAsia="Times New Roman" w:cs="Arial"/>
                <w:i/>
                <w:sz w:val="20"/>
                <w:szCs w:val="22"/>
                <w:lang w:eastAsia="en-GB"/>
              </w:rPr>
              <w:t>North</w:t>
            </w:r>
            <w:r w:rsidRPr="00160892">
              <w:rPr>
                <w:rFonts w:eastAsia="Times New Roman" w:cs="Arial"/>
                <w:i/>
                <w:sz w:val="20"/>
                <w:szCs w:val="22"/>
                <w:lang w:eastAsia="en-GB"/>
              </w:rPr>
              <w:t xml:space="preserve"> Wales</w:t>
            </w:r>
          </w:p>
        </w:tc>
        <w:tc>
          <w:tcPr>
            <w:tcW w:w="7912" w:type="dxa"/>
            <w:hideMark/>
          </w:tcPr>
          <w:p w:rsidR="00160892" w:rsidRPr="00160892" w:rsidRDefault="00160892" w:rsidP="00160892">
            <w:pPr>
              <w:spacing w:line="270" w:lineRule="atLeast"/>
              <w:rPr>
                <w:rFonts w:eastAsia="Times New Roman" w:cs="Arial"/>
                <w:sz w:val="20"/>
                <w:szCs w:val="22"/>
                <w:lang w:eastAsia="en-GB"/>
              </w:rPr>
            </w:pPr>
            <w:r w:rsidRPr="00160892">
              <w:rPr>
                <w:rFonts w:eastAsia="Times New Roman" w:cs="Arial"/>
                <w:color w:val="000000"/>
                <w:szCs w:val="22"/>
                <w:lang w:eastAsia="en-GB"/>
              </w:rPr>
              <w:t>Northumberland, Cumbria, Durham and Cleveland, Lancashire, Yorkshire, Cheshire, Isle of Man &amp; North Wales</w:t>
            </w:r>
          </w:p>
        </w:tc>
      </w:tr>
      <w:tr w:rsidR="00160892" w:rsidRPr="00160892" w:rsidTr="00160892">
        <w:trPr>
          <w:trHeight w:val="300"/>
          <w:tblCellSpacing w:w="0" w:type="dxa"/>
        </w:trPr>
        <w:tc>
          <w:tcPr>
            <w:tcW w:w="1838" w:type="dxa"/>
            <w:hideMark/>
          </w:tcPr>
          <w:p w:rsidR="00160892" w:rsidRPr="00160892" w:rsidRDefault="00160892" w:rsidP="00160892">
            <w:pPr>
              <w:spacing w:line="270" w:lineRule="atLeast"/>
              <w:rPr>
                <w:rFonts w:eastAsia="Times New Roman" w:cs="Arial"/>
                <w:sz w:val="20"/>
                <w:szCs w:val="22"/>
                <w:lang w:eastAsia="en-GB"/>
              </w:rPr>
            </w:pPr>
            <w:r w:rsidRPr="00160892">
              <w:rPr>
                <w:rFonts w:eastAsia="Times New Roman" w:cs="Arial"/>
                <w:sz w:val="20"/>
                <w:szCs w:val="22"/>
                <w:lang w:eastAsia="en-GB"/>
              </w:rPr>
              <w:t>Midlands</w:t>
            </w:r>
          </w:p>
        </w:tc>
        <w:tc>
          <w:tcPr>
            <w:tcW w:w="7912" w:type="dxa"/>
            <w:hideMark/>
          </w:tcPr>
          <w:p w:rsidR="00160892" w:rsidRPr="00160892" w:rsidRDefault="00160892" w:rsidP="00160892">
            <w:pPr>
              <w:spacing w:line="270" w:lineRule="atLeast"/>
              <w:rPr>
                <w:rFonts w:eastAsia="Times New Roman" w:cs="Arial"/>
                <w:sz w:val="20"/>
                <w:szCs w:val="22"/>
                <w:lang w:eastAsia="en-GB"/>
              </w:rPr>
            </w:pPr>
            <w:r w:rsidRPr="00160892">
              <w:rPr>
                <w:rFonts w:eastAsia="Times New Roman" w:cs="Arial"/>
                <w:sz w:val="20"/>
                <w:szCs w:val="22"/>
                <w:lang w:eastAsia="en-GB"/>
              </w:rPr>
              <w:t>Shropshire, Staffordshire, Derbyshire, Nottinghamshire, Lincolnshire, Herefordshire and Worcestershire, Warwickshire, Leicestershire &amp; Northamptonshire</w:t>
            </w:r>
          </w:p>
        </w:tc>
      </w:tr>
      <w:tr w:rsidR="00160892" w:rsidRPr="00160892" w:rsidTr="00160892">
        <w:trPr>
          <w:trHeight w:val="285"/>
          <w:tblCellSpacing w:w="0" w:type="dxa"/>
        </w:trPr>
        <w:tc>
          <w:tcPr>
            <w:tcW w:w="1838" w:type="dxa"/>
            <w:hideMark/>
          </w:tcPr>
          <w:p w:rsidR="00160892" w:rsidRPr="00160892" w:rsidRDefault="00160892" w:rsidP="00160892">
            <w:pPr>
              <w:spacing w:line="270" w:lineRule="atLeast"/>
              <w:rPr>
                <w:rFonts w:eastAsia="Times New Roman" w:cs="Arial"/>
                <w:sz w:val="20"/>
                <w:szCs w:val="22"/>
                <w:lang w:eastAsia="en-GB"/>
              </w:rPr>
            </w:pPr>
            <w:r w:rsidRPr="00160892">
              <w:rPr>
                <w:rFonts w:eastAsia="Times New Roman" w:cs="Arial"/>
                <w:sz w:val="20"/>
                <w:szCs w:val="22"/>
                <w:lang w:eastAsia="en-GB"/>
              </w:rPr>
              <w:t>Central &amp; East</w:t>
            </w:r>
          </w:p>
        </w:tc>
        <w:tc>
          <w:tcPr>
            <w:tcW w:w="7912" w:type="dxa"/>
            <w:hideMark/>
          </w:tcPr>
          <w:p w:rsidR="00160892" w:rsidRPr="00160892" w:rsidRDefault="00160892" w:rsidP="00160892">
            <w:pPr>
              <w:spacing w:line="270" w:lineRule="atLeast"/>
              <w:rPr>
                <w:rFonts w:eastAsia="Times New Roman" w:cs="Arial"/>
                <w:sz w:val="20"/>
                <w:szCs w:val="22"/>
                <w:lang w:eastAsia="en-GB"/>
              </w:rPr>
            </w:pPr>
            <w:r w:rsidRPr="00160892">
              <w:rPr>
                <w:rFonts w:eastAsia="Times New Roman" w:cs="Arial"/>
                <w:color w:val="000000"/>
                <w:szCs w:val="22"/>
                <w:lang w:eastAsia="en-GB"/>
              </w:rPr>
              <w:t>Cambridgeshire, Norfolk, Oxfordshire, Buckinghamshire, Bedfordshire, Suffolk, Berkshire, Hertfordshire &amp; Essex</w:t>
            </w:r>
          </w:p>
        </w:tc>
      </w:tr>
      <w:tr w:rsidR="00160892" w:rsidRPr="00160892" w:rsidTr="00160892">
        <w:trPr>
          <w:trHeight w:val="300"/>
          <w:tblCellSpacing w:w="0" w:type="dxa"/>
        </w:trPr>
        <w:tc>
          <w:tcPr>
            <w:tcW w:w="1838" w:type="dxa"/>
            <w:hideMark/>
          </w:tcPr>
          <w:p w:rsidR="00160892" w:rsidRPr="00160892" w:rsidRDefault="00160892" w:rsidP="00160892">
            <w:pPr>
              <w:spacing w:line="270" w:lineRule="atLeast"/>
              <w:rPr>
                <w:rFonts w:eastAsia="Times New Roman" w:cs="Arial"/>
                <w:sz w:val="20"/>
                <w:szCs w:val="22"/>
                <w:lang w:eastAsia="en-GB"/>
              </w:rPr>
            </w:pPr>
            <w:r w:rsidRPr="00160892">
              <w:rPr>
                <w:rFonts w:eastAsia="Times New Roman" w:cs="Arial"/>
                <w:sz w:val="20"/>
                <w:szCs w:val="22"/>
                <w:lang w:eastAsia="en-GB"/>
              </w:rPr>
              <w:t>London &amp; South East</w:t>
            </w:r>
          </w:p>
        </w:tc>
        <w:tc>
          <w:tcPr>
            <w:tcW w:w="7912" w:type="dxa"/>
            <w:hideMark/>
          </w:tcPr>
          <w:p w:rsidR="00160892" w:rsidRPr="00160892" w:rsidRDefault="00160892" w:rsidP="00160892">
            <w:pPr>
              <w:spacing w:line="270" w:lineRule="atLeast"/>
              <w:rPr>
                <w:rFonts w:eastAsia="Times New Roman" w:cs="Arial"/>
                <w:sz w:val="20"/>
                <w:szCs w:val="22"/>
                <w:lang w:eastAsia="en-GB"/>
              </w:rPr>
            </w:pPr>
            <w:r w:rsidRPr="00160892">
              <w:rPr>
                <w:rFonts w:eastAsia="Times New Roman" w:cs="Arial"/>
                <w:sz w:val="20"/>
                <w:szCs w:val="22"/>
                <w:lang w:eastAsia="en-GB"/>
              </w:rPr>
              <w:t>Surrey, Middlesex, Sussex, Kent.</w:t>
            </w:r>
          </w:p>
        </w:tc>
      </w:tr>
      <w:tr w:rsidR="00160892" w:rsidRPr="00160892" w:rsidTr="00160892">
        <w:trPr>
          <w:trHeight w:val="270"/>
          <w:tblCellSpacing w:w="0" w:type="dxa"/>
        </w:trPr>
        <w:tc>
          <w:tcPr>
            <w:tcW w:w="1838" w:type="dxa"/>
            <w:hideMark/>
          </w:tcPr>
          <w:p w:rsidR="00160892" w:rsidRDefault="00160892" w:rsidP="00160892">
            <w:pPr>
              <w:spacing w:line="270" w:lineRule="atLeast"/>
              <w:rPr>
                <w:rFonts w:eastAsia="Times New Roman" w:cs="Arial"/>
                <w:sz w:val="20"/>
                <w:szCs w:val="22"/>
                <w:lang w:eastAsia="en-GB"/>
              </w:rPr>
            </w:pPr>
            <w:r w:rsidRPr="00160892">
              <w:rPr>
                <w:rFonts w:eastAsia="Times New Roman" w:cs="Arial"/>
                <w:sz w:val="20"/>
                <w:szCs w:val="22"/>
                <w:lang w:eastAsia="en-GB"/>
              </w:rPr>
              <w:t xml:space="preserve">South &amp; South West </w:t>
            </w:r>
          </w:p>
          <w:p w:rsidR="00160892" w:rsidRPr="00160892" w:rsidRDefault="00160892" w:rsidP="00160892">
            <w:pPr>
              <w:spacing w:line="270" w:lineRule="atLeast"/>
              <w:rPr>
                <w:rFonts w:eastAsia="Times New Roman" w:cs="Arial"/>
                <w:i/>
                <w:sz w:val="20"/>
                <w:szCs w:val="22"/>
                <w:lang w:eastAsia="en-GB"/>
              </w:rPr>
            </w:pPr>
            <w:r w:rsidRPr="00160892">
              <w:rPr>
                <w:rFonts w:eastAsia="Times New Roman" w:cs="Arial"/>
                <w:i/>
                <w:sz w:val="20"/>
                <w:szCs w:val="22"/>
                <w:lang w:eastAsia="en-GB"/>
              </w:rPr>
              <w:t>inc. South Wales</w:t>
            </w:r>
          </w:p>
        </w:tc>
        <w:tc>
          <w:tcPr>
            <w:tcW w:w="7912" w:type="dxa"/>
            <w:hideMark/>
          </w:tcPr>
          <w:p w:rsidR="00160892" w:rsidRPr="00160892" w:rsidRDefault="00160892" w:rsidP="00160892">
            <w:pPr>
              <w:spacing w:line="270" w:lineRule="atLeast"/>
              <w:rPr>
                <w:rFonts w:eastAsia="Times New Roman" w:cs="Arial"/>
                <w:sz w:val="20"/>
                <w:szCs w:val="22"/>
                <w:lang w:eastAsia="en-GB"/>
              </w:rPr>
            </w:pPr>
            <w:r w:rsidRPr="00160892">
              <w:rPr>
                <w:rFonts w:eastAsia="Times New Roman" w:cs="Arial"/>
                <w:sz w:val="20"/>
                <w:szCs w:val="22"/>
                <w:lang w:eastAsia="en-GB"/>
              </w:rPr>
              <w:t>Cornwall, Somerset, Devon, Avon, Gloucestershire, Wiltshire, Dorset, Hampshire and Isle of Wight, Channel Islands &amp; South Wales</w:t>
            </w:r>
          </w:p>
        </w:tc>
      </w:tr>
    </w:tbl>
    <w:p w:rsidR="00160892" w:rsidRDefault="00160892" w:rsidP="00160892">
      <w:pPr>
        <w:spacing w:line="270" w:lineRule="atLeast"/>
        <w:jc w:val="both"/>
        <w:rPr>
          <w:rFonts w:eastAsia="Times New Roman" w:cs="Arial"/>
          <w:color w:val="000000"/>
          <w:szCs w:val="22"/>
          <w:lang w:eastAsia="en-GB"/>
        </w:rPr>
      </w:pPr>
    </w:p>
    <w:p w:rsidR="005763EA" w:rsidRPr="00160892" w:rsidRDefault="0001062E" w:rsidP="00160892">
      <w:pPr>
        <w:spacing w:line="270" w:lineRule="atLeast"/>
        <w:jc w:val="both"/>
        <w:rPr>
          <w:rFonts w:eastAsia="Times New Roman" w:cs="Arial"/>
          <w:color w:val="000000"/>
          <w:szCs w:val="22"/>
          <w:lang w:eastAsia="en-GB"/>
        </w:rPr>
      </w:pPr>
      <w:r w:rsidRPr="00160892">
        <w:rPr>
          <w:rFonts w:eastAsia="Times New Roman" w:cs="Arial"/>
          <w:color w:val="000000"/>
          <w:szCs w:val="22"/>
          <w:lang w:eastAsia="en-GB"/>
        </w:rPr>
        <w:t xml:space="preserve">For Scotland, players residing in Scotland will train in the Tennis Scotland </w:t>
      </w:r>
      <w:r w:rsidR="005763EA" w:rsidRPr="00160892">
        <w:rPr>
          <w:rFonts w:eastAsia="Times New Roman" w:cs="Arial"/>
          <w:color w:val="000000"/>
          <w:szCs w:val="22"/>
          <w:lang w:eastAsia="en-GB"/>
        </w:rPr>
        <w:t xml:space="preserve">National Training </w:t>
      </w:r>
      <w:r w:rsidRPr="00160892">
        <w:rPr>
          <w:rFonts w:eastAsia="Times New Roman" w:cs="Arial"/>
          <w:color w:val="000000"/>
          <w:szCs w:val="22"/>
          <w:lang w:eastAsia="en-GB"/>
        </w:rPr>
        <w:t>and Scotland will compete as a region in regional training matches.</w:t>
      </w:r>
    </w:p>
    <w:p w:rsidR="00160892" w:rsidRDefault="00160892" w:rsidP="00160892">
      <w:pPr>
        <w:spacing w:line="270" w:lineRule="atLeast"/>
        <w:jc w:val="both"/>
        <w:rPr>
          <w:rFonts w:eastAsia="Times New Roman" w:cs="Arial"/>
          <w:color w:val="000000"/>
          <w:szCs w:val="22"/>
          <w:lang w:eastAsia="en-GB"/>
        </w:rPr>
      </w:pPr>
    </w:p>
    <w:p w:rsidR="0001062E" w:rsidRPr="00160892" w:rsidRDefault="0001062E" w:rsidP="00160892">
      <w:pPr>
        <w:spacing w:line="270" w:lineRule="atLeast"/>
        <w:jc w:val="both"/>
        <w:rPr>
          <w:rFonts w:eastAsia="Times New Roman" w:cs="Arial"/>
          <w:color w:val="000000"/>
          <w:szCs w:val="22"/>
          <w:lang w:eastAsia="en-GB"/>
        </w:rPr>
      </w:pPr>
      <w:r w:rsidRPr="00160892">
        <w:rPr>
          <w:rFonts w:eastAsia="Times New Roman" w:cs="Arial"/>
          <w:color w:val="000000"/>
          <w:szCs w:val="22"/>
          <w:lang w:eastAsia="en-GB"/>
        </w:rPr>
        <w:t xml:space="preserve">For Wales, players living in South Wales will be eligible for invitation to the South &amp; South West RT (in England). Players residing in North Wales will be eligible for invitation to the North RT (in England). </w:t>
      </w:r>
    </w:p>
    <w:p w:rsidR="00160892" w:rsidRDefault="00160892" w:rsidP="00160892">
      <w:pPr>
        <w:spacing w:line="270" w:lineRule="atLeast"/>
        <w:jc w:val="both"/>
        <w:rPr>
          <w:rFonts w:eastAsia="Times New Roman" w:cs="Arial"/>
          <w:color w:val="000000"/>
          <w:szCs w:val="22"/>
          <w:lang w:eastAsia="en-GB"/>
        </w:rPr>
      </w:pPr>
    </w:p>
    <w:p w:rsidR="0001062E" w:rsidRPr="00160892" w:rsidRDefault="0001062E" w:rsidP="00160892">
      <w:pPr>
        <w:spacing w:line="270" w:lineRule="atLeast"/>
        <w:jc w:val="both"/>
        <w:rPr>
          <w:rFonts w:eastAsia="Times New Roman" w:cs="Arial"/>
          <w:color w:val="000000"/>
          <w:szCs w:val="22"/>
          <w:lang w:eastAsia="en-GB"/>
        </w:rPr>
      </w:pPr>
      <w:r w:rsidRPr="00160892">
        <w:rPr>
          <w:rFonts w:eastAsia="Times New Roman" w:cs="Arial"/>
          <w:color w:val="000000"/>
          <w:szCs w:val="22"/>
          <w:lang w:eastAsia="en-GB"/>
        </w:rPr>
        <w:t>In addition:</w:t>
      </w:r>
    </w:p>
    <w:p w:rsidR="0001062E" w:rsidRPr="00160892" w:rsidRDefault="0001062E" w:rsidP="00160892">
      <w:pPr>
        <w:pStyle w:val="ListParagraph"/>
        <w:numPr>
          <w:ilvl w:val="0"/>
          <w:numId w:val="21"/>
        </w:numPr>
        <w:spacing w:line="270" w:lineRule="atLeast"/>
        <w:jc w:val="both"/>
        <w:rPr>
          <w:rFonts w:eastAsia="Times New Roman" w:cs="Arial"/>
          <w:color w:val="000000"/>
          <w:szCs w:val="22"/>
          <w:lang w:eastAsia="en-GB"/>
        </w:rPr>
      </w:pPr>
      <w:r w:rsidRPr="00160892">
        <w:rPr>
          <w:rFonts w:eastAsia="Times New Roman" w:cs="Arial"/>
          <w:color w:val="000000"/>
          <w:szCs w:val="22"/>
          <w:lang w:eastAsia="en-GB"/>
        </w:rPr>
        <w:t>A player may be deemed to reside in a region if they attend a residential school in a particular region;</w:t>
      </w:r>
    </w:p>
    <w:p w:rsidR="0001062E" w:rsidRPr="00160892" w:rsidRDefault="0001062E" w:rsidP="00160892">
      <w:pPr>
        <w:pStyle w:val="ListParagraph"/>
        <w:numPr>
          <w:ilvl w:val="0"/>
          <w:numId w:val="21"/>
        </w:numPr>
        <w:spacing w:line="270" w:lineRule="atLeast"/>
        <w:jc w:val="both"/>
        <w:rPr>
          <w:rFonts w:eastAsia="Times New Roman" w:cs="Arial"/>
          <w:color w:val="000000"/>
          <w:szCs w:val="22"/>
          <w:lang w:eastAsia="en-GB"/>
        </w:rPr>
      </w:pPr>
      <w:r w:rsidRPr="00160892">
        <w:rPr>
          <w:rFonts w:eastAsia="Times New Roman" w:cs="Arial"/>
          <w:color w:val="000000"/>
          <w:szCs w:val="22"/>
          <w:lang w:eastAsia="en-GB"/>
        </w:rPr>
        <w:t>In exceptional circumstances the LTA may permit a player to attend RT in a region in which they do not reside if it deems this to be appropriate;</w:t>
      </w:r>
    </w:p>
    <w:p w:rsidR="0001062E" w:rsidRPr="00160892" w:rsidRDefault="0001062E" w:rsidP="00160892">
      <w:pPr>
        <w:pStyle w:val="ListParagraph"/>
        <w:numPr>
          <w:ilvl w:val="0"/>
          <w:numId w:val="21"/>
        </w:numPr>
        <w:spacing w:line="270" w:lineRule="atLeast"/>
        <w:jc w:val="both"/>
        <w:rPr>
          <w:rFonts w:eastAsia="Times New Roman" w:cs="Arial"/>
          <w:color w:val="000000"/>
          <w:szCs w:val="22"/>
          <w:lang w:eastAsia="en-GB"/>
        </w:rPr>
      </w:pPr>
      <w:r w:rsidRPr="00160892">
        <w:rPr>
          <w:rFonts w:eastAsia="Times New Roman" w:cs="Arial"/>
          <w:color w:val="000000"/>
          <w:szCs w:val="22"/>
          <w:lang w:eastAsia="en-GB"/>
        </w:rPr>
        <w:t>If a player is selected for RT and subsequently moves to a different region following selection, they will automatically be permitted to attend the RT in such region.</w:t>
      </w:r>
    </w:p>
    <w:p w:rsidR="005763EA" w:rsidRPr="00160892" w:rsidRDefault="005763EA" w:rsidP="00160892">
      <w:pPr>
        <w:pStyle w:val="ListParagraph"/>
        <w:spacing w:line="270" w:lineRule="atLeast"/>
        <w:ind w:left="360"/>
        <w:jc w:val="both"/>
        <w:rPr>
          <w:rFonts w:eastAsia="Times New Roman" w:cs="Arial"/>
          <w:color w:val="000000"/>
          <w:szCs w:val="22"/>
          <w:lang w:eastAsia="en-GB"/>
        </w:rPr>
      </w:pPr>
    </w:p>
    <w:p w:rsidR="005763EA" w:rsidRPr="00160892" w:rsidRDefault="00731349" w:rsidP="00160892">
      <w:pPr>
        <w:pStyle w:val="ListParagraph"/>
        <w:numPr>
          <w:ilvl w:val="0"/>
          <w:numId w:val="24"/>
        </w:numPr>
        <w:spacing w:line="285" w:lineRule="atLeast"/>
        <w:jc w:val="both"/>
        <w:rPr>
          <w:rFonts w:eastAsia="Times New Roman" w:cs="Arial"/>
          <w:b/>
          <w:bCs/>
          <w:color w:val="000000"/>
          <w:szCs w:val="22"/>
          <w:u w:val="single"/>
          <w:lang w:eastAsia="en-GB"/>
        </w:rPr>
      </w:pPr>
      <w:r w:rsidRPr="00160892">
        <w:rPr>
          <w:rFonts w:eastAsia="Times New Roman" w:cs="Arial"/>
          <w:b/>
          <w:bCs/>
          <w:color w:val="000000"/>
          <w:szCs w:val="22"/>
          <w:u w:val="single"/>
          <w:lang w:eastAsia="en-GB"/>
        </w:rPr>
        <w:t>Eligibility</w:t>
      </w:r>
    </w:p>
    <w:p w:rsidR="005763EA" w:rsidRPr="00160892" w:rsidRDefault="005763EA" w:rsidP="00160892">
      <w:pPr>
        <w:pStyle w:val="ListParagraph"/>
        <w:spacing w:line="285" w:lineRule="atLeast"/>
        <w:ind w:left="360"/>
        <w:jc w:val="both"/>
        <w:rPr>
          <w:rFonts w:eastAsia="Times New Roman" w:cs="Arial"/>
          <w:color w:val="000000"/>
          <w:szCs w:val="22"/>
          <w:lang w:eastAsia="en-GB"/>
        </w:rPr>
      </w:pPr>
    </w:p>
    <w:p w:rsidR="005763EA" w:rsidRPr="00160892" w:rsidRDefault="00731349" w:rsidP="00160892">
      <w:pPr>
        <w:pStyle w:val="ListParagraph"/>
        <w:numPr>
          <w:ilvl w:val="1"/>
          <w:numId w:val="24"/>
        </w:numPr>
        <w:spacing w:line="285" w:lineRule="atLeast"/>
        <w:jc w:val="both"/>
        <w:rPr>
          <w:rFonts w:eastAsia="Times New Roman" w:cs="Arial"/>
          <w:color w:val="000000"/>
          <w:szCs w:val="22"/>
          <w:lang w:eastAsia="en-GB"/>
        </w:rPr>
      </w:pPr>
      <w:r w:rsidRPr="00160892">
        <w:rPr>
          <w:rFonts w:eastAsia="Times New Roman" w:cs="Arial"/>
          <w:color w:val="000000"/>
          <w:szCs w:val="22"/>
          <w:u w:val="single"/>
          <w:lang w:eastAsia="en-GB"/>
        </w:rPr>
        <w:lastRenderedPageBreak/>
        <w:t>Age</w:t>
      </w:r>
      <w:r w:rsidR="000201CD" w:rsidRPr="00160892">
        <w:rPr>
          <w:rFonts w:eastAsia="Times New Roman" w:cs="Arial"/>
          <w:color w:val="000000"/>
          <w:szCs w:val="22"/>
          <w:u w:val="single"/>
          <w:lang w:eastAsia="en-GB"/>
        </w:rPr>
        <w:t xml:space="preserve"> eligibility.</w:t>
      </w:r>
      <w:r w:rsidR="008E6E67" w:rsidRPr="00160892">
        <w:rPr>
          <w:rFonts w:eastAsia="Times New Roman" w:cs="Arial"/>
          <w:color w:val="000000"/>
          <w:szCs w:val="22"/>
          <w:lang w:eastAsia="en-GB"/>
        </w:rPr>
        <w:t xml:space="preserve"> </w:t>
      </w:r>
      <w:r w:rsidRPr="00160892">
        <w:rPr>
          <w:rFonts w:eastAsia="Times New Roman" w:cs="Arial"/>
          <w:color w:val="000000"/>
          <w:szCs w:val="22"/>
          <w:lang w:eastAsia="en-GB"/>
        </w:rPr>
        <w:t xml:space="preserve">RT is for players aged between 10 and 14 years (born 2009, 2008, 2007 or 2006). Players under the age of 10 on 31 December 2020 will be considered if they sufficiently meet the </w:t>
      </w:r>
      <w:r w:rsidR="00004ABA" w:rsidRPr="00160892">
        <w:rPr>
          <w:rFonts w:eastAsia="Times New Roman" w:cs="Arial"/>
          <w:color w:val="000000"/>
          <w:szCs w:val="22"/>
          <w:lang w:eastAsia="en-GB"/>
        </w:rPr>
        <w:t>factors</w:t>
      </w:r>
      <w:r w:rsidR="00171E65" w:rsidRPr="00160892">
        <w:rPr>
          <w:rFonts w:eastAsia="Times New Roman" w:cs="Arial"/>
          <w:color w:val="000000"/>
          <w:szCs w:val="22"/>
          <w:lang w:eastAsia="en-GB"/>
        </w:rPr>
        <w:t xml:space="preserve"> identified</w:t>
      </w:r>
      <w:r w:rsidRPr="00160892">
        <w:rPr>
          <w:rFonts w:eastAsia="Times New Roman" w:cs="Arial"/>
          <w:color w:val="000000"/>
          <w:szCs w:val="22"/>
          <w:lang w:eastAsia="en-GB"/>
        </w:rPr>
        <w:t xml:space="preserve"> in section </w:t>
      </w:r>
      <w:r w:rsidR="00881150" w:rsidRPr="00160892">
        <w:rPr>
          <w:rFonts w:eastAsia="Times New Roman" w:cs="Arial"/>
          <w:color w:val="000000"/>
          <w:szCs w:val="22"/>
          <w:lang w:eastAsia="en-GB"/>
        </w:rPr>
        <w:t>4</w:t>
      </w:r>
      <w:r w:rsidRPr="00160892">
        <w:rPr>
          <w:rFonts w:eastAsia="Times New Roman" w:cs="Arial"/>
          <w:color w:val="000000"/>
          <w:szCs w:val="22"/>
          <w:lang w:eastAsia="en-GB"/>
        </w:rPr>
        <w:t xml:space="preserve">. </w:t>
      </w:r>
    </w:p>
    <w:p w:rsidR="005763EA" w:rsidRPr="00160892" w:rsidRDefault="005763EA" w:rsidP="00160892">
      <w:pPr>
        <w:pStyle w:val="ListParagraph"/>
        <w:spacing w:line="285" w:lineRule="atLeast"/>
        <w:ind w:left="0"/>
        <w:jc w:val="both"/>
        <w:rPr>
          <w:rFonts w:eastAsia="Times New Roman" w:cs="Arial"/>
          <w:color w:val="000000"/>
          <w:szCs w:val="22"/>
          <w:lang w:eastAsia="en-GB"/>
        </w:rPr>
      </w:pPr>
    </w:p>
    <w:p w:rsidR="00731349" w:rsidRPr="00160892" w:rsidRDefault="005763EA" w:rsidP="00160892">
      <w:pPr>
        <w:pStyle w:val="ListParagraph"/>
        <w:spacing w:line="285" w:lineRule="atLeast"/>
        <w:ind w:left="360"/>
        <w:jc w:val="both"/>
        <w:rPr>
          <w:rFonts w:eastAsia="Times New Roman" w:cs="Arial"/>
          <w:b/>
          <w:bCs/>
          <w:color w:val="000000"/>
          <w:szCs w:val="22"/>
          <w:u w:val="single"/>
          <w:lang w:eastAsia="en-GB"/>
        </w:rPr>
      </w:pPr>
      <w:r w:rsidRPr="00160892">
        <w:rPr>
          <w:rFonts w:eastAsia="Times New Roman" w:cs="Arial"/>
          <w:color w:val="000000"/>
          <w:szCs w:val="22"/>
          <w:lang w:eastAsia="en-GB"/>
        </w:rPr>
        <w:t xml:space="preserve">3.2 </w:t>
      </w:r>
      <w:r w:rsidR="000201CD" w:rsidRPr="00160892">
        <w:rPr>
          <w:rFonts w:eastAsia="Times New Roman" w:cs="Arial"/>
          <w:color w:val="000000"/>
          <w:szCs w:val="22"/>
          <w:u w:val="single"/>
          <w:lang w:eastAsia="en-GB"/>
        </w:rPr>
        <w:t>Eligible to represent Great Britain.</w:t>
      </w:r>
      <w:r w:rsidR="000201CD" w:rsidRPr="00160892">
        <w:rPr>
          <w:rFonts w:eastAsia="Times New Roman" w:cs="Arial"/>
          <w:color w:val="000000"/>
          <w:szCs w:val="22"/>
          <w:lang w:eastAsia="en-GB"/>
        </w:rPr>
        <w:t xml:space="preserve"> </w:t>
      </w:r>
      <w:r w:rsidR="00731349" w:rsidRPr="00160892">
        <w:rPr>
          <w:rFonts w:eastAsia="Times New Roman" w:cs="Arial"/>
          <w:color w:val="000000"/>
          <w:szCs w:val="22"/>
          <w:lang w:eastAsia="en-GB"/>
        </w:rPr>
        <w:t xml:space="preserve">Players must hold, or be eligible for, a British passport. Those not meeting this stipulation, but who have lived in Great Britain continuously since 1 April 2018, will be considered for selection on a case-by-case basis. Such players must contact the Regional Pathway Coach in their region (see section </w:t>
      </w:r>
      <w:r w:rsidR="00881150" w:rsidRPr="00160892">
        <w:rPr>
          <w:rFonts w:eastAsia="Times New Roman" w:cs="Arial"/>
          <w:color w:val="000000"/>
          <w:szCs w:val="22"/>
          <w:lang w:eastAsia="en-GB"/>
        </w:rPr>
        <w:t>6</w:t>
      </w:r>
      <w:r w:rsidR="00731349" w:rsidRPr="00160892">
        <w:rPr>
          <w:rFonts w:eastAsia="Times New Roman" w:cs="Arial"/>
          <w:color w:val="000000"/>
          <w:szCs w:val="22"/>
          <w:lang w:eastAsia="en-GB"/>
        </w:rPr>
        <w:t xml:space="preserve"> for contact details) by </w:t>
      </w:r>
      <w:r w:rsidR="002B642C" w:rsidRPr="00160892">
        <w:rPr>
          <w:rFonts w:eastAsia="Times New Roman" w:cs="Arial"/>
          <w:color w:val="000000"/>
          <w:szCs w:val="22"/>
          <w:lang w:eastAsia="en-GB"/>
        </w:rPr>
        <w:t xml:space="preserve">19 </w:t>
      </w:r>
      <w:r w:rsidR="00731349" w:rsidRPr="00160892">
        <w:rPr>
          <w:rFonts w:eastAsia="Times New Roman" w:cs="Arial"/>
          <w:color w:val="000000"/>
          <w:szCs w:val="22"/>
          <w:lang w:eastAsia="en-GB"/>
        </w:rPr>
        <w:t>July 2019 to confirm that they would like to be considered and provide:</w:t>
      </w:r>
    </w:p>
    <w:p w:rsidR="00731349" w:rsidRPr="00160892" w:rsidRDefault="00731349" w:rsidP="00160892">
      <w:pPr>
        <w:pStyle w:val="ListParagraph"/>
        <w:numPr>
          <w:ilvl w:val="0"/>
          <w:numId w:val="19"/>
        </w:numPr>
        <w:spacing w:line="270" w:lineRule="atLeast"/>
        <w:ind w:left="720"/>
        <w:jc w:val="both"/>
        <w:rPr>
          <w:rFonts w:eastAsia="Times New Roman" w:cs="Arial"/>
          <w:color w:val="000000"/>
          <w:szCs w:val="22"/>
          <w:lang w:eastAsia="en-GB"/>
        </w:rPr>
      </w:pPr>
      <w:r w:rsidRPr="00160892">
        <w:rPr>
          <w:rFonts w:eastAsia="Times New Roman" w:cs="Arial"/>
          <w:color w:val="000000"/>
          <w:szCs w:val="22"/>
          <w:lang w:eastAsia="en-GB"/>
        </w:rPr>
        <w:t>Details of their tennis background prior to moving to Great Britain; and</w:t>
      </w:r>
    </w:p>
    <w:p w:rsidR="005763EA" w:rsidRPr="00160892" w:rsidRDefault="00731349" w:rsidP="00160892">
      <w:pPr>
        <w:pStyle w:val="ListParagraph"/>
        <w:numPr>
          <w:ilvl w:val="0"/>
          <w:numId w:val="19"/>
        </w:numPr>
        <w:spacing w:line="270" w:lineRule="atLeast"/>
        <w:ind w:left="720"/>
        <w:jc w:val="both"/>
        <w:rPr>
          <w:rFonts w:eastAsia="Times New Roman" w:cs="Arial"/>
          <w:color w:val="000000"/>
          <w:szCs w:val="22"/>
          <w:lang w:eastAsia="en-GB"/>
        </w:rPr>
      </w:pPr>
      <w:r w:rsidRPr="00160892">
        <w:rPr>
          <w:rFonts w:eastAsia="Times New Roman" w:cs="Arial"/>
          <w:color w:val="000000"/>
          <w:szCs w:val="22"/>
          <w:lang w:eastAsia="en-GB"/>
        </w:rPr>
        <w:t>Details of their tennis background since moving to Great Britain.</w:t>
      </w:r>
    </w:p>
    <w:p w:rsidR="005763EA" w:rsidRPr="00160892" w:rsidRDefault="005763EA" w:rsidP="00160892">
      <w:pPr>
        <w:spacing w:line="270" w:lineRule="atLeast"/>
        <w:jc w:val="both"/>
        <w:rPr>
          <w:rFonts w:eastAsia="Times New Roman" w:cs="Arial"/>
          <w:color w:val="000000"/>
          <w:szCs w:val="22"/>
          <w:lang w:eastAsia="en-GB"/>
        </w:rPr>
      </w:pPr>
    </w:p>
    <w:p w:rsidR="005763EA" w:rsidRPr="00160892" w:rsidRDefault="005763EA" w:rsidP="00160892">
      <w:pPr>
        <w:spacing w:line="270" w:lineRule="atLeast"/>
        <w:ind w:left="360"/>
        <w:jc w:val="both"/>
        <w:rPr>
          <w:rFonts w:eastAsia="Times New Roman" w:cs="Arial"/>
          <w:color w:val="000000"/>
          <w:szCs w:val="22"/>
          <w:lang w:eastAsia="en-GB"/>
        </w:rPr>
      </w:pPr>
      <w:r w:rsidRPr="00160892">
        <w:rPr>
          <w:rFonts w:eastAsia="Times New Roman" w:cs="Arial"/>
          <w:color w:val="000000"/>
          <w:szCs w:val="22"/>
          <w:lang w:eastAsia="en-GB"/>
        </w:rPr>
        <w:t>3.</w:t>
      </w:r>
      <w:r w:rsidR="00B017DE" w:rsidRPr="00160892">
        <w:rPr>
          <w:rFonts w:eastAsia="Times New Roman" w:cs="Arial"/>
          <w:color w:val="000000"/>
          <w:szCs w:val="22"/>
          <w:lang w:eastAsia="en-GB"/>
        </w:rPr>
        <w:t xml:space="preserve">3. </w:t>
      </w:r>
      <w:r w:rsidR="000201CD" w:rsidRPr="00160892">
        <w:rPr>
          <w:rFonts w:eastAsia="Times New Roman" w:cs="Arial"/>
          <w:color w:val="000000"/>
          <w:szCs w:val="22"/>
          <w:u w:val="single"/>
          <w:lang w:eastAsia="en-GB"/>
        </w:rPr>
        <w:t>Performance level requirements</w:t>
      </w:r>
      <w:r w:rsidR="000201CD" w:rsidRPr="00160892">
        <w:rPr>
          <w:rFonts w:eastAsia="Times New Roman" w:cs="Arial"/>
          <w:color w:val="000000"/>
          <w:szCs w:val="22"/>
          <w:lang w:eastAsia="en-GB"/>
        </w:rPr>
        <w:t xml:space="preserve">. In addition to </w:t>
      </w:r>
      <w:r w:rsidR="00B017DE" w:rsidRPr="00160892">
        <w:rPr>
          <w:rFonts w:eastAsia="Times New Roman" w:cs="Arial"/>
          <w:color w:val="000000"/>
          <w:szCs w:val="22"/>
          <w:lang w:eastAsia="en-GB"/>
        </w:rPr>
        <w:t>3</w:t>
      </w:r>
      <w:r w:rsidR="000201CD" w:rsidRPr="00160892">
        <w:rPr>
          <w:rFonts w:eastAsia="Times New Roman" w:cs="Arial"/>
          <w:color w:val="000000"/>
          <w:szCs w:val="22"/>
          <w:lang w:eastAsia="en-GB"/>
        </w:rPr>
        <w:t xml:space="preserve">.1 and </w:t>
      </w:r>
      <w:r w:rsidR="00B017DE" w:rsidRPr="00160892">
        <w:rPr>
          <w:rFonts w:eastAsia="Times New Roman" w:cs="Arial"/>
          <w:color w:val="000000"/>
          <w:szCs w:val="22"/>
          <w:lang w:eastAsia="en-GB"/>
        </w:rPr>
        <w:t>3</w:t>
      </w:r>
      <w:r w:rsidR="007D78CC" w:rsidRPr="00160892">
        <w:rPr>
          <w:rFonts w:eastAsia="Times New Roman" w:cs="Arial"/>
          <w:color w:val="000000"/>
          <w:szCs w:val="22"/>
          <w:lang w:eastAsia="en-GB"/>
        </w:rPr>
        <w:t>.</w:t>
      </w:r>
      <w:r w:rsidR="000201CD" w:rsidRPr="00160892">
        <w:rPr>
          <w:rFonts w:eastAsia="Times New Roman" w:cs="Arial"/>
          <w:color w:val="000000"/>
          <w:szCs w:val="22"/>
          <w:lang w:eastAsia="en-GB"/>
        </w:rPr>
        <w:t>2, to be eligible for Regional Training</w:t>
      </w:r>
      <w:r w:rsidR="00896817" w:rsidRPr="00160892">
        <w:rPr>
          <w:rFonts w:eastAsia="Times New Roman" w:cs="Arial"/>
          <w:color w:val="000000"/>
          <w:szCs w:val="22"/>
          <w:lang w:eastAsia="en-GB"/>
        </w:rPr>
        <w:t>,</w:t>
      </w:r>
      <w:r w:rsidR="000201CD" w:rsidRPr="00160892">
        <w:rPr>
          <w:rFonts w:eastAsia="Times New Roman" w:cs="Arial"/>
          <w:color w:val="000000"/>
          <w:szCs w:val="22"/>
          <w:lang w:eastAsia="en-GB"/>
        </w:rPr>
        <w:t xml:space="preserve"> players must fulfil </w:t>
      </w:r>
      <w:r w:rsidR="007D78CC" w:rsidRPr="00160892">
        <w:rPr>
          <w:rFonts w:eastAsia="Times New Roman" w:cs="Arial"/>
          <w:color w:val="000000"/>
          <w:szCs w:val="22"/>
          <w:lang w:eastAsia="en-GB"/>
        </w:rPr>
        <w:t>either of</w:t>
      </w:r>
      <w:r w:rsidR="000201CD" w:rsidRPr="00160892">
        <w:rPr>
          <w:rFonts w:eastAsia="Times New Roman" w:cs="Arial"/>
          <w:color w:val="000000"/>
          <w:szCs w:val="22"/>
          <w:lang w:eastAsia="en-GB"/>
        </w:rPr>
        <w:t xml:space="preserve"> the following requirements: </w:t>
      </w:r>
    </w:p>
    <w:p w:rsidR="005763EA" w:rsidRPr="00160892" w:rsidRDefault="005763EA" w:rsidP="00160892">
      <w:pPr>
        <w:spacing w:line="270" w:lineRule="atLeast"/>
        <w:ind w:left="349" w:firstLine="360"/>
        <w:jc w:val="both"/>
        <w:rPr>
          <w:rFonts w:eastAsia="Times New Roman" w:cs="Arial"/>
          <w:color w:val="000000"/>
          <w:szCs w:val="22"/>
          <w:lang w:eastAsia="en-GB"/>
        </w:rPr>
      </w:pPr>
      <w:r w:rsidRPr="00160892">
        <w:rPr>
          <w:rFonts w:eastAsia="Times New Roman" w:cs="Arial"/>
          <w:color w:val="000000"/>
          <w:szCs w:val="22"/>
          <w:lang w:eastAsia="en-GB"/>
        </w:rPr>
        <w:t>3.3.1</w:t>
      </w:r>
      <w:r w:rsidR="000201CD" w:rsidRPr="00160892">
        <w:rPr>
          <w:rFonts w:eastAsia="Times New Roman" w:cs="Arial"/>
          <w:color w:val="000000"/>
          <w:szCs w:val="22"/>
          <w:lang w:eastAsia="en-GB"/>
        </w:rPr>
        <w:t xml:space="preserve"> </w:t>
      </w:r>
      <w:r w:rsidR="004322A1" w:rsidRPr="00160892">
        <w:rPr>
          <w:rFonts w:eastAsia="Times New Roman" w:cs="Arial"/>
          <w:color w:val="000000"/>
          <w:szCs w:val="22"/>
          <w:lang w:eastAsia="en-GB"/>
        </w:rPr>
        <w:t xml:space="preserve">RT selection between September 2018 and July 2019; </w:t>
      </w:r>
    </w:p>
    <w:p w:rsidR="008E6E67" w:rsidRDefault="005763EA" w:rsidP="00160892">
      <w:pPr>
        <w:spacing w:line="270" w:lineRule="atLeast"/>
        <w:ind w:left="709"/>
        <w:jc w:val="both"/>
        <w:rPr>
          <w:rFonts w:eastAsia="Times New Roman" w:cs="Arial"/>
          <w:color w:val="000000"/>
          <w:szCs w:val="22"/>
          <w:lang w:eastAsia="en-GB"/>
        </w:rPr>
      </w:pPr>
      <w:r w:rsidRPr="00160892">
        <w:rPr>
          <w:rFonts w:eastAsia="Times New Roman" w:cs="Arial"/>
          <w:color w:val="000000"/>
          <w:szCs w:val="22"/>
          <w:lang w:eastAsia="en-GB"/>
        </w:rPr>
        <w:t xml:space="preserve">3.3.2 </w:t>
      </w:r>
      <w:r w:rsidR="000201CD" w:rsidRPr="00160892">
        <w:rPr>
          <w:rFonts w:eastAsia="Times New Roman" w:cs="Arial"/>
          <w:color w:val="000000"/>
          <w:szCs w:val="22"/>
          <w:lang w:eastAsia="en-GB"/>
        </w:rPr>
        <w:t xml:space="preserve">County Training </w:t>
      </w:r>
      <w:r w:rsidRPr="00160892">
        <w:rPr>
          <w:rFonts w:eastAsia="Times New Roman" w:cs="Arial"/>
          <w:color w:val="000000"/>
          <w:szCs w:val="22"/>
          <w:lang w:eastAsia="en-GB"/>
        </w:rPr>
        <w:t xml:space="preserve">selection </w:t>
      </w:r>
      <w:r w:rsidR="00160892">
        <w:rPr>
          <w:rFonts w:eastAsia="Times New Roman" w:cs="Arial"/>
          <w:color w:val="000000"/>
          <w:szCs w:val="22"/>
          <w:lang w:eastAsia="en-GB"/>
        </w:rPr>
        <w:t xml:space="preserve">in </w:t>
      </w:r>
      <w:r w:rsidR="000201CD" w:rsidRPr="00160892">
        <w:rPr>
          <w:rFonts w:eastAsia="Times New Roman" w:cs="Arial"/>
          <w:color w:val="000000"/>
          <w:szCs w:val="22"/>
          <w:lang w:eastAsia="en-GB"/>
        </w:rPr>
        <w:t xml:space="preserve">2018 </w:t>
      </w:r>
      <w:r w:rsidR="008E6E67" w:rsidRPr="00160892">
        <w:rPr>
          <w:rFonts w:eastAsia="Times New Roman" w:cs="Arial"/>
          <w:color w:val="000000"/>
          <w:szCs w:val="22"/>
          <w:lang w:eastAsia="en-GB"/>
        </w:rPr>
        <w:t>or</w:t>
      </w:r>
      <w:r w:rsidR="000201CD" w:rsidRPr="00160892">
        <w:rPr>
          <w:rFonts w:eastAsia="Times New Roman" w:cs="Arial"/>
          <w:color w:val="000000"/>
          <w:szCs w:val="22"/>
          <w:lang w:eastAsia="en-GB"/>
        </w:rPr>
        <w:t xml:space="preserve"> 2019</w:t>
      </w:r>
      <w:r w:rsidR="008E6E67" w:rsidRPr="00160892">
        <w:rPr>
          <w:rFonts w:eastAsia="Times New Roman" w:cs="Arial"/>
          <w:color w:val="000000"/>
          <w:szCs w:val="22"/>
          <w:lang w:eastAsia="en-GB"/>
        </w:rPr>
        <w:t xml:space="preserve"> and a nomination </w:t>
      </w:r>
      <w:r w:rsidRPr="00160892">
        <w:rPr>
          <w:rFonts w:eastAsia="Times New Roman" w:cs="Arial"/>
          <w:color w:val="000000"/>
          <w:szCs w:val="22"/>
          <w:lang w:eastAsia="en-GB"/>
        </w:rPr>
        <w:t xml:space="preserve">from </w:t>
      </w:r>
      <w:r w:rsidR="00B67C01">
        <w:rPr>
          <w:rFonts w:eastAsia="Times New Roman" w:cs="Arial"/>
          <w:color w:val="000000"/>
          <w:szCs w:val="22"/>
          <w:lang w:eastAsia="en-GB"/>
        </w:rPr>
        <w:t xml:space="preserve">a </w:t>
      </w:r>
      <w:r w:rsidR="008E6E67" w:rsidRPr="00160892">
        <w:rPr>
          <w:rFonts w:eastAsia="Times New Roman" w:cs="Arial"/>
          <w:color w:val="000000"/>
          <w:szCs w:val="22"/>
          <w:lang w:eastAsia="en-GB"/>
        </w:rPr>
        <w:t>National Performance Pathway Team</w:t>
      </w:r>
      <w:r w:rsidR="00160892">
        <w:rPr>
          <w:rFonts w:eastAsia="Times New Roman" w:cs="Arial"/>
          <w:color w:val="000000"/>
          <w:szCs w:val="22"/>
          <w:lang w:eastAsia="en-GB"/>
        </w:rPr>
        <w:t xml:space="preserve"> member</w:t>
      </w:r>
      <w:r w:rsidR="008E6E67" w:rsidRPr="00160892">
        <w:rPr>
          <w:rFonts w:eastAsia="Times New Roman" w:cs="Arial"/>
          <w:color w:val="000000"/>
          <w:szCs w:val="22"/>
          <w:lang w:eastAsia="en-GB"/>
        </w:rPr>
        <w:t>.</w:t>
      </w:r>
    </w:p>
    <w:p w:rsidR="00160892" w:rsidRPr="00160892" w:rsidRDefault="00160892" w:rsidP="00160892">
      <w:pPr>
        <w:spacing w:line="270" w:lineRule="atLeast"/>
        <w:ind w:left="709"/>
        <w:jc w:val="both"/>
        <w:rPr>
          <w:rFonts w:eastAsia="Times New Roman" w:cs="Arial"/>
          <w:color w:val="000000"/>
          <w:szCs w:val="22"/>
          <w:lang w:eastAsia="en-GB"/>
        </w:rPr>
      </w:pPr>
    </w:p>
    <w:p w:rsidR="005763EA" w:rsidRPr="00160892" w:rsidRDefault="005763EA" w:rsidP="00160892">
      <w:pPr>
        <w:pStyle w:val="ListParagraph"/>
        <w:numPr>
          <w:ilvl w:val="0"/>
          <w:numId w:val="24"/>
        </w:numPr>
        <w:spacing w:line="285" w:lineRule="atLeast"/>
        <w:jc w:val="both"/>
        <w:rPr>
          <w:rFonts w:eastAsia="Times New Roman" w:cs="Arial"/>
          <w:b/>
          <w:bCs/>
          <w:color w:val="000000"/>
          <w:szCs w:val="22"/>
          <w:u w:val="single"/>
          <w:lang w:eastAsia="en-GB"/>
        </w:rPr>
      </w:pPr>
      <w:r w:rsidRPr="00160892">
        <w:rPr>
          <w:rFonts w:eastAsia="Times New Roman" w:cs="Arial"/>
          <w:b/>
          <w:bCs/>
          <w:color w:val="000000"/>
          <w:szCs w:val="22"/>
          <w:u w:val="single"/>
          <w:lang w:eastAsia="en-GB"/>
        </w:rPr>
        <w:t>Selection Process</w:t>
      </w:r>
    </w:p>
    <w:p w:rsidR="004C7995" w:rsidRDefault="0095184F" w:rsidP="00160892">
      <w:pPr>
        <w:spacing w:line="270" w:lineRule="atLeast"/>
        <w:jc w:val="both"/>
        <w:rPr>
          <w:rFonts w:eastAsia="Times New Roman" w:cs="Arial"/>
          <w:color w:val="000000"/>
          <w:szCs w:val="22"/>
          <w:lang w:eastAsia="en-GB"/>
        </w:rPr>
      </w:pPr>
      <w:r w:rsidRPr="00160892">
        <w:rPr>
          <w:rFonts w:eastAsia="Times New Roman" w:cs="Arial"/>
          <w:color w:val="000000"/>
          <w:szCs w:val="22"/>
          <w:lang w:eastAsia="en-GB"/>
        </w:rPr>
        <w:t xml:space="preserve">The RT Selection Panel (Panel) will </w:t>
      </w:r>
      <w:r w:rsidR="00731349" w:rsidRPr="00160892">
        <w:rPr>
          <w:rFonts w:eastAsia="Times New Roman" w:cs="Arial"/>
          <w:color w:val="000000"/>
          <w:szCs w:val="22"/>
          <w:lang w:eastAsia="en-GB"/>
        </w:rPr>
        <w:t xml:space="preserve">include the Head of </w:t>
      </w:r>
      <w:r w:rsidR="004C7995" w:rsidRPr="00160892">
        <w:rPr>
          <w:rFonts w:eastAsia="Times New Roman" w:cs="Arial"/>
          <w:color w:val="000000"/>
          <w:szCs w:val="22"/>
          <w:lang w:eastAsia="en-GB"/>
        </w:rPr>
        <w:t xml:space="preserve">the </w:t>
      </w:r>
      <w:r w:rsidR="00731349" w:rsidRPr="00160892">
        <w:rPr>
          <w:rFonts w:eastAsia="Times New Roman" w:cs="Arial"/>
          <w:color w:val="000000"/>
          <w:szCs w:val="22"/>
          <w:lang w:eastAsia="en-GB"/>
        </w:rPr>
        <w:t xml:space="preserve">National Performance Pathway, the Lead National Age Group Coach </w:t>
      </w:r>
      <w:r w:rsidR="004C7995" w:rsidRPr="00160892">
        <w:rPr>
          <w:rFonts w:eastAsia="Times New Roman" w:cs="Arial"/>
          <w:color w:val="000000"/>
          <w:szCs w:val="22"/>
          <w:lang w:eastAsia="en-GB"/>
        </w:rPr>
        <w:t>and Lead Regional Pathway Coach.</w:t>
      </w:r>
    </w:p>
    <w:p w:rsidR="00160892" w:rsidRPr="00160892" w:rsidRDefault="00160892" w:rsidP="00160892">
      <w:pPr>
        <w:spacing w:line="270" w:lineRule="atLeast"/>
        <w:jc w:val="both"/>
        <w:rPr>
          <w:rFonts w:eastAsia="Times New Roman" w:cs="Arial"/>
          <w:color w:val="000000"/>
          <w:szCs w:val="22"/>
          <w:lang w:eastAsia="en-GB"/>
        </w:rPr>
      </w:pPr>
    </w:p>
    <w:p w:rsidR="00731349" w:rsidRPr="00160892" w:rsidRDefault="00731349" w:rsidP="00160892">
      <w:pPr>
        <w:pStyle w:val="ListParagraph"/>
        <w:numPr>
          <w:ilvl w:val="1"/>
          <w:numId w:val="24"/>
        </w:numPr>
        <w:spacing w:line="285" w:lineRule="atLeast"/>
        <w:jc w:val="both"/>
        <w:rPr>
          <w:rFonts w:eastAsia="Times New Roman" w:cs="Arial"/>
          <w:iCs/>
          <w:color w:val="000000"/>
          <w:szCs w:val="22"/>
          <w:lang w:eastAsia="en-GB"/>
        </w:rPr>
      </w:pPr>
      <w:r w:rsidRPr="00160892">
        <w:rPr>
          <w:rFonts w:eastAsia="Times New Roman" w:cs="Arial"/>
          <w:iCs/>
          <w:color w:val="000000"/>
          <w:szCs w:val="22"/>
          <w:u w:val="single"/>
          <w:lang w:eastAsia="en-GB"/>
        </w:rPr>
        <w:t xml:space="preserve">Automatic </w:t>
      </w:r>
      <w:r w:rsidR="002B642C" w:rsidRPr="00160892">
        <w:rPr>
          <w:rFonts w:eastAsia="Times New Roman" w:cs="Arial"/>
          <w:iCs/>
          <w:color w:val="000000"/>
          <w:szCs w:val="22"/>
          <w:u w:val="single"/>
          <w:lang w:eastAsia="en-GB"/>
        </w:rPr>
        <w:t>selections</w:t>
      </w:r>
      <w:r w:rsidR="004C7995" w:rsidRPr="00160892">
        <w:rPr>
          <w:rFonts w:eastAsia="Times New Roman" w:cs="Arial"/>
          <w:iCs/>
          <w:color w:val="000000"/>
          <w:szCs w:val="22"/>
          <w:lang w:eastAsia="en-GB"/>
        </w:rPr>
        <w:t xml:space="preserve">. </w:t>
      </w:r>
      <w:r w:rsidRPr="00160892">
        <w:rPr>
          <w:rFonts w:eastAsia="Times New Roman" w:cs="Arial"/>
          <w:color w:val="000000"/>
          <w:szCs w:val="22"/>
          <w:lang w:eastAsia="en-GB"/>
        </w:rPr>
        <w:t xml:space="preserve">The following players will </w:t>
      </w:r>
      <w:r w:rsidR="004C7995" w:rsidRPr="00160892">
        <w:rPr>
          <w:rFonts w:eastAsia="Times New Roman" w:cs="Arial"/>
          <w:color w:val="000000"/>
          <w:szCs w:val="22"/>
          <w:lang w:eastAsia="en-GB"/>
        </w:rPr>
        <w:t xml:space="preserve">be </w:t>
      </w:r>
      <w:r w:rsidR="008E6E67" w:rsidRPr="00160892">
        <w:rPr>
          <w:rFonts w:eastAsia="Times New Roman" w:cs="Arial"/>
          <w:color w:val="000000"/>
          <w:szCs w:val="22"/>
          <w:lang w:eastAsia="en-GB"/>
        </w:rPr>
        <w:t xml:space="preserve">automatically </w:t>
      </w:r>
      <w:r w:rsidR="00652C54" w:rsidRPr="00160892">
        <w:rPr>
          <w:rFonts w:eastAsia="Times New Roman" w:cs="Arial"/>
          <w:color w:val="000000"/>
          <w:szCs w:val="22"/>
          <w:lang w:eastAsia="en-GB"/>
        </w:rPr>
        <w:t xml:space="preserve">selected for </w:t>
      </w:r>
      <w:r w:rsidRPr="00160892">
        <w:rPr>
          <w:rFonts w:eastAsia="Times New Roman" w:cs="Arial"/>
          <w:color w:val="000000"/>
          <w:szCs w:val="22"/>
          <w:lang w:eastAsia="en-GB"/>
        </w:rPr>
        <w:t>RT:</w:t>
      </w:r>
    </w:p>
    <w:p w:rsidR="00731349" w:rsidRPr="00160892" w:rsidRDefault="002B642C" w:rsidP="00160892">
      <w:pPr>
        <w:pStyle w:val="ListParagraph"/>
        <w:numPr>
          <w:ilvl w:val="0"/>
          <w:numId w:val="22"/>
        </w:numPr>
        <w:spacing w:line="270" w:lineRule="atLeast"/>
        <w:ind w:left="720"/>
        <w:jc w:val="both"/>
        <w:rPr>
          <w:rFonts w:eastAsia="Times New Roman" w:cs="Arial"/>
          <w:color w:val="000000"/>
          <w:szCs w:val="22"/>
          <w:lang w:eastAsia="en-GB"/>
        </w:rPr>
      </w:pPr>
      <w:r w:rsidRPr="00160892">
        <w:rPr>
          <w:rFonts w:eastAsia="Times New Roman" w:cs="Arial"/>
          <w:color w:val="000000"/>
          <w:szCs w:val="22"/>
          <w:lang w:eastAsia="en-GB"/>
        </w:rPr>
        <w:t>Eligible p</w:t>
      </w:r>
      <w:r w:rsidR="00731349" w:rsidRPr="00160892">
        <w:rPr>
          <w:rFonts w:eastAsia="Times New Roman" w:cs="Arial"/>
          <w:color w:val="000000"/>
          <w:szCs w:val="22"/>
          <w:lang w:eastAsia="en-GB"/>
        </w:rPr>
        <w:t>layers who were selected as NAGP Scholars in January 2019.</w:t>
      </w:r>
    </w:p>
    <w:p w:rsidR="004C7995" w:rsidRPr="00160892" w:rsidRDefault="002B642C" w:rsidP="00160892">
      <w:pPr>
        <w:pStyle w:val="ListParagraph"/>
        <w:numPr>
          <w:ilvl w:val="0"/>
          <w:numId w:val="22"/>
        </w:numPr>
        <w:spacing w:line="270" w:lineRule="atLeast"/>
        <w:ind w:left="720"/>
        <w:jc w:val="both"/>
        <w:rPr>
          <w:rFonts w:eastAsia="Times New Roman" w:cs="Arial"/>
          <w:color w:val="000000"/>
          <w:szCs w:val="22"/>
          <w:lang w:eastAsia="en-GB"/>
        </w:rPr>
      </w:pPr>
      <w:r w:rsidRPr="00160892">
        <w:rPr>
          <w:rFonts w:eastAsia="Times New Roman" w:cs="Arial"/>
          <w:color w:val="000000"/>
          <w:szCs w:val="22"/>
          <w:lang w:eastAsia="en-GB"/>
        </w:rPr>
        <w:t>Eligible p</w:t>
      </w:r>
      <w:r w:rsidR="00731349" w:rsidRPr="00160892">
        <w:rPr>
          <w:rFonts w:eastAsia="Times New Roman" w:cs="Arial"/>
          <w:color w:val="000000"/>
          <w:szCs w:val="22"/>
          <w:lang w:eastAsia="en-GB"/>
        </w:rPr>
        <w:t>layers who have attended at least one LTA National Camp (U12 and U14) in the period from 1 September 2018 to 1 July 2019.</w:t>
      </w:r>
    </w:p>
    <w:p w:rsidR="004C7995" w:rsidRPr="00160892" w:rsidRDefault="004C7995" w:rsidP="00160892">
      <w:pPr>
        <w:spacing w:line="270" w:lineRule="atLeast"/>
        <w:jc w:val="both"/>
        <w:rPr>
          <w:rFonts w:eastAsia="Times New Roman" w:cs="Arial"/>
          <w:color w:val="000000"/>
          <w:szCs w:val="22"/>
          <w:lang w:eastAsia="en-GB"/>
        </w:rPr>
      </w:pPr>
    </w:p>
    <w:p w:rsidR="004C7995" w:rsidRDefault="00731349" w:rsidP="00160892">
      <w:pPr>
        <w:pStyle w:val="ListParagraph"/>
        <w:numPr>
          <w:ilvl w:val="1"/>
          <w:numId w:val="24"/>
        </w:numPr>
        <w:spacing w:line="270" w:lineRule="atLeast"/>
        <w:jc w:val="both"/>
        <w:rPr>
          <w:rFonts w:eastAsia="Times New Roman" w:cs="Arial"/>
          <w:iCs/>
          <w:color w:val="000000"/>
          <w:szCs w:val="22"/>
          <w:lang w:eastAsia="en-GB"/>
        </w:rPr>
      </w:pPr>
      <w:r w:rsidRPr="00160892">
        <w:rPr>
          <w:rFonts w:eastAsia="Times New Roman" w:cs="Arial"/>
          <w:iCs/>
          <w:color w:val="000000"/>
          <w:szCs w:val="22"/>
          <w:u w:val="single"/>
          <w:lang w:eastAsia="en-GB"/>
        </w:rPr>
        <w:t xml:space="preserve">Remaining </w:t>
      </w:r>
      <w:r w:rsidR="002B642C" w:rsidRPr="00160892">
        <w:rPr>
          <w:rFonts w:eastAsia="Times New Roman" w:cs="Arial"/>
          <w:iCs/>
          <w:color w:val="000000"/>
          <w:szCs w:val="22"/>
          <w:u w:val="single"/>
          <w:lang w:eastAsia="en-GB"/>
        </w:rPr>
        <w:t>selections</w:t>
      </w:r>
      <w:r w:rsidR="004C7995" w:rsidRPr="00160892">
        <w:rPr>
          <w:rFonts w:eastAsia="Times New Roman" w:cs="Arial"/>
          <w:iCs/>
          <w:color w:val="000000"/>
          <w:szCs w:val="22"/>
          <w:lang w:eastAsia="en-GB"/>
        </w:rPr>
        <w:t xml:space="preserve">. </w:t>
      </w:r>
      <w:r w:rsidR="009D39B9" w:rsidRPr="00160892">
        <w:rPr>
          <w:rFonts w:eastAsia="Times New Roman" w:cs="Arial"/>
          <w:iCs/>
          <w:color w:val="000000"/>
          <w:szCs w:val="22"/>
          <w:lang w:eastAsia="en-GB"/>
        </w:rPr>
        <w:t xml:space="preserve">All players that fulfil the eligibility criteria set out in section 3 of this policy will be considered. The Panel will use its professional opinion to consider which players have the greatest future potential to meet the National Age-Group Programme </w:t>
      </w:r>
      <w:r w:rsidR="00652C54" w:rsidRPr="00160892">
        <w:rPr>
          <w:rFonts w:eastAsia="Times New Roman" w:cs="Arial"/>
          <w:iCs/>
          <w:color w:val="000000"/>
          <w:szCs w:val="22"/>
          <w:lang w:eastAsia="en-GB"/>
        </w:rPr>
        <w:t xml:space="preserve">and National Academy </w:t>
      </w:r>
      <w:r w:rsidR="009D39B9" w:rsidRPr="00160892">
        <w:rPr>
          <w:rFonts w:eastAsia="Times New Roman" w:cs="Arial"/>
          <w:iCs/>
          <w:color w:val="000000"/>
          <w:szCs w:val="22"/>
          <w:lang w:eastAsia="en-GB"/>
        </w:rPr>
        <w:t>selection criteria between the ages of 1</w:t>
      </w:r>
      <w:r w:rsidR="004322A1" w:rsidRPr="00160892">
        <w:rPr>
          <w:rFonts w:eastAsia="Times New Roman" w:cs="Arial"/>
          <w:iCs/>
          <w:color w:val="000000"/>
          <w:szCs w:val="22"/>
          <w:lang w:eastAsia="en-GB"/>
        </w:rPr>
        <w:t>0</w:t>
      </w:r>
      <w:r w:rsidR="00160892" w:rsidRPr="00160892">
        <w:rPr>
          <w:rFonts w:eastAsia="Times New Roman" w:cs="Arial"/>
          <w:iCs/>
          <w:color w:val="000000"/>
          <w:szCs w:val="22"/>
          <w:lang w:eastAsia="en-GB"/>
        </w:rPr>
        <w:t>-14. The P</w:t>
      </w:r>
      <w:r w:rsidR="009D39B9" w:rsidRPr="00160892">
        <w:rPr>
          <w:rFonts w:eastAsia="Times New Roman" w:cs="Arial"/>
          <w:iCs/>
          <w:color w:val="000000"/>
          <w:szCs w:val="22"/>
          <w:lang w:eastAsia="en-GB"/>
        </w:rPr>
        <w:t>anel will consider the factors listed below (and when doing so will take into account any aspects that may influence these factors, such as their age and physical maturation, their injury and training history, and/or their lifestyle and training environment):</w:t>
      </w:r>
    </w:p>
    <w:p w:rsidR="0095184F" w:rsidRPr="00160892" w:rsidRDefault="0095184F" w:rsidP="00160892">
      <w:pPr>
        <w:pStyle w:val="ListParagraph"/>
        <w:numPr>
          <w:ilvl w:val="0"/>
          <w:numId w:val="26"/>
        </w:numPr>
        <w:spacing w:line="270" w:lineRule="atLeast"/>
        <w:jc w:val="both"/>
        <w:rPr>
          <w:rFonts w:eastAsia="Times New Roman" w:cs="Arial"/>
          <w:iCs/>
          <w:color w:val="000000"/>
          <w:szCs w:val="22"/>
          <w:lang w:eastAsia="en-GB"/>
        </w:rPr>
      </w:pPr>
      <w:r w:rsidRPr="00160892">
        <w:rPr>
          <w:rFonts w:eastAsia="Times New Roman" w:cs="Arial"/>
          <w:color w:val="000000"/>
          <w:szCs w:val="22"/>
          <w:lang w:eastAsia="en-GB"/>
        </w:rPr>
        <w:t>The player has an all-round game, with minimal limitations, from which they can develop a clearly defined game style at the next stage of the pathway.</w:t>
      </w:r>
    </w:p>
    <w:p w:rsidR="004C7995" w:rsidRPr="00160892" w:rsidRDefault="006908D1" w:rsidP="00160892">
      <w:pPr>
        <w:pStyle w:val="ListParagraph"/>
        <w:numPr>
          <w:ilvl w:val="0"/>
          <w:numId w:val="26"/>
        </w:numPr>
        <w:spacing w:line="270" w:lineRule="atLeast"/>
        <w:jc w:val="both"/>
        <w:rPr>
          <w:rFonts w:eastAsia="Times New Roman" w:cs="Arial"/>
          <w:iCs/>
          <w:color w:val="000000"/>
          <w:szCs w:val="22"/>
          <w:lang w:eastAsia="en-GB"/>
        </w:rPr>
      </w:pPr>
      <w:r w:rsidRPr="00160892">
        <w:rPr>
          <w:rFonts w:eastAsia="Times New Roman" w:cs="Arial"/>
          <w:color w:val="000000"/>
          <w:szCs w:val="22"/>
          <w:lang w:eastAsia="en-GB"/>
        </w:rPr>
        <w:t>The player consistently looks for solutions to positively impact the outcome of a match</w:t>
      </w:r>
      <w:r w:rsidR="0095184F" w:rsidRPr="00160892">
        <w:rPr>
          <w:rFonts w:eastAsia="Times New Roman" w:cs="Arial"/>
          <w:color w:val="000000"/>
          <w:szCs w:val="22"/>
          <w:lang w:eastAsia="en-GB"/>
        </w:rPr>
        <w:t>, irrespective of the match situation</w:t>
      </w:r>
      <w:r w:rsidR="00A276DA" w:rsidRPr="00160892">
        <w:rPr>
          <w:rFonts w:eastAsia="Times New Roman" w:cs="Arial"/>
          <w:color w:val="000000"/>
          <w:szCs w:val="22"/>
          <w:lang w:eastAsia="en-GB"/>
        </w:rPr>
        <w:t>.</w:t>
      </w:r>
    </w:p>
    <w:p w:rsidR="004C7995" w:rsidRPr="00160892" w:rsidRDefault="006908D1" w:rsidP="00160892">
      <w:pPr>
        <w:pStyle w:val="ListParagraph"/>
        <w:numPr>
          <w:ilvl w:val="0"/>
          <w:numId w:val="26"/>
        </w:numPr>
        <w:spacing w:line="270" w:lineRule="atLeast"/>
        <w:jc w:val="both"/>
        <w:rPr>
          <w:rFonts w:eastAsia="Times New Roman" w:cs="Arial"/>
          <w:iCs/>
          <w:color w:val="000000"/>
          <w:szCs w:val="22"/>
          <w:lang w:eastAsia="en-GB"/>
        </w:rPr>
      </w:pPr>
      <w:r w:rsidRPr="00160892">
        <w:rPr>
          <w:rFonts w:eastAsia="Times New Roman" w:cs="Arial"/>
          <w:color w:val="000000"/>
          <w:szCs w:val="22"/>
          <w:lang w:eastAsia="en-GB"/>
        </w:rPr>
        <w:t>The player applies themselves fully in training and competition and has a willingness to learn</w:t>
      </w:r>
      <w:r w:rsidR="0095184F" w:rsidRPr="00160892">
        <w:rPr>
          <w:rFonts w:eastAsia="Times New Roman" w:cs="Arial"/>
          <w:color w:val="000000"/>
          <w:szCs w:val="22"/>
          <w:lang w:eastAsia="en-GB"/>
        </w:rPr>
        <w:t xml:space="preserve"> and a desire to compete</w:t>
      </w:r>
      <w:r w:rsidRPr="00160892">
        <w:rPr>
          <w:rFonts w:eastAsia="Times New Roman" w:cs="Arial"/>
          <w:color w:val="000000"/>
          <w:szCs w:val="22"/>
          <w:lang w:eastAsia="en-GB"/>
        </w:rPr>
        <w:t>.</w:t>
      </w:r>
    </w:p>
    <w:p w:rsidR="004C7995" w:rsidRPr="00160892" w:rsidRDefault="006908D1" w:rsidP="00160892">
      <w:pPr>
        <w:pStyle w:val="ListParagraph"/>
        <w:numPr>
          <w:ilvl w:val="0"/>
          <w:numId w:val="26"/>
        </w:numPr>
        <w:spacing w:line="270" w:lineRule="atLeast"/>
        <w:jc w:val="both"/>
        <w:rPr>
          <w:rFonts w:eastAsia="Times New Roman" w:cs="Arial"/>
          <w:iCs/>
          <w:color w:val="000000"/>
          <w:szCs w:val="22"/>
          <w:lang w:eastAsia="en-GB"/>
        </w:rPr>
      </w:pPr>
      <w:r w:rsidRPr="00160892">
        <w:rPr>
          <w:rFonts w:eastAsia="Times New Roman" w:cs="Arial"/>
          <w:color w:val="000000"/>
          <w:szCs w:val="22"/>
          <w:lang w:eastAsia="en-GB"/>
        </w:rPr>
        <w:t>The player has a physical foundation from which they can develop the physical attributes to train at the required intensity at the next stage of the pathway.</w:t>
      </w:r>
    </w:p>
    <w:p w:rsidR="004C7995" w:rsidRPr="00160892" w:rsidRDefault="006908D1" w:rsidP="00160892">
      <w:pPr>
        <w:pStyle w:val="ListParagraph"/>
        <w:numPr>
          <w:ilvl w:val="0"/>
          <w:numId w:val="26"/>
        </w:numPr>
        <w:spacing w:line="270" w:lineRule="atLeast"/>
        <w:jc w:val="both"/>
        <w:rPr>
          <w:rFonts w:eastAsia="Times New Roman" w:cs="Arial"/>
          <w:iCs/>
          <w:color w:val="000000"/>
          <w:szCs w:val="22"/>
          <w:lang w:eastAsia="en-GB"/>
        </w:rPr>
      </w:pPr>
      <w:r w:rsidRPr="00160892">
        <w:rPr>
          <w:rFonts w:eastAsia="Times New Roman" w:cs="Arial"/>
          <w:color w:val="000000"/>
          <w:szCs w:val="22"/>
          <w:lang w:eastAsia="en-GB"/>
        </w:rPr>
        <w:t>The player demonstrates professional behaviours in both training and competition and abides by the LTA code of conduct.</w:t>
      </w:r>
    </w:p>
    <w:p w:rsidR="00731349" w:rsidRPr="00160892" w:rsidRDefault="006908D1" w:rsidP="00160892">
      <w:pPr>
        <w:pStyle w:val="ListParagraph"/>
        <w:numPr>
          <w:ilvl w:val="0"/>
          <w:numId w:val="26"/>
        </w:numPr>
        <w:spacing w:line="270" w:lineRule="atLeast"/>
        <w:jc w:val="both"/>
        <w:rPr>
          <w:rFonts w:eastAsia="Times New Roman" w:cs="Arial"/>
          <w:iCs/>
          <w:color w:val="000000"/>
          <w:szCs w:val="22"/>
          <w:lang w:eastAsia="en-GB"/>
        </w:rPr>
      </w:pPr>
      <w:r w:rsidRPr="00160892">
        <w:rPr>
          <w:rFonts w:eastAsia="Times New Roman" w:cs="Arial"/>
          <w:color w:val="000000"/>
          <w:szCs w:val="22"/>
          <w:lang w:eastAsia="en-GB"/>
        </w:rPr>
        <w:t>The</w:t>
      </w:r>
      <w:r w:rsidR="00731349" w:rsidRPr="00160892">
        <w:rPr>
          <w:rFonts w:eastAsia="Times New Roman" w:cs="Arial"/>
          <w:color w:val="000000"/>
          <w:szCs w:val="22"/>
          <w:lang w:eastAsia="en-GB"/>
        </w:rPr>
        <w:t xml:space="preserve"> player </w:t>
      </w:r>
      <w:r w:rsidRPr="00160892">
        <w:rPr>
          <w:rFonts w:eastAsia="Times New Roman" w:cs="Arial"/>
          <w:color w:val="000000"/>
          <w:szCs w:val="22"/>
          <w:lang w:eastAsia="en-GB"/>
        </w:rPr>
        <w:t xml:space="preserve">is </w:t>
      </w:r>
      <w:r w:rsidR="00731349" w:rsidRPr="00160892">
        <w:rPr>
          <w:rFonts w:eastAsia="Times New Roman" w:cs="Arial"/>
          <w:color w:val="000000"/>
          <w:szCs w:val="22"/>
          <w:lang w:eastAsia="en-GB"/>
        </w:rPr>
        <w:t>starting to demonstrate relevant results and is begin</w:t>
      </w:r>
      <w:r w:rsidR="00A733B3" w:rsidRPr="00160892">
        <w:rPr>
          <w:rFonts w:eastAsia="Times New Roman" w:cs="Arial"/>
          <w:color w:val="000000"/>
          <w:szCs w:val="22"/>
          <w:lang w:eastAsia="en-GB"/>
        </w:rPr>
        <w:t>ning to build a ranking profile.</w:t>
      </w:r>
    </w:p>
    <w:p w:rsidR="00160892" w:rsidRDefault="00160892" w:rsidP="00160892">
      <w:pPr>
        <w:spacing w:line="270" w:lineRule="atLeast"/>
        <w:jc w:val="both"/>
        <w:rPr>
          <w:rFonts w:eastAsia="Times New Roman" w:cs="Arial"/>
          <w:color w:val="000000"/>
          <w:szCs w:val="22"/>
          <w:lang w:eastAsia="en-GB"/>
        </w:rPr>
      </w:pPr>
    </w:p>
    <w:p w:rsidR="00A733B3" w:rsidRDefault="00731349" w:rsidP="00160892">
      <w:pPr>
        <w:spacing w:line="270" w:lineRule="atLeast"/>
        <w:jc w:val="both"/>
        <w:rPr>
          <w:rFonts w:eastAsia="Times New Roman" w:cs="Arial"/>
          <w:color w:val="000000"/>
          <w:szCs w:val="22"/>
          <w:lang w:eastAsia="en-GB"/>
        </w:rPr>
      </w:pPr>
      <w:r w:rsidRPr="00160892">
        <w:rPr>
          <w:rFonts w:eastAsia="Times New Roman" w:cs="Arial"/>
          <w:color w:val="000000"/>
          <w:szCs w:val="22"/>
          <w:lang w:eastAsia="en-GB"/>
        </w:rPr>
        <w:t>Players not invited to partake in RT at the start of the year (e.g. September 2019) may be reconsidered at a later date if there are sufficient places available.</w:t>
      </w:r>
      <w:r w:rsidR="00A733B3" w:rsidRPr="00160892">
        <w:rPr>
          <w:rFonts w:eastAsia="Times New Roman" w:cs="Arial"/>
          <w:color w:val="000000"/>
          <w:szCs w:val="22"/>
          <w:lang w:eastAsia="en-GB"/>
        </w:rPr>
        <w:t xml:space="preserve"> Such </w:t>
      </w:r>
      <w:r w:rsidRPr="00160892">
        <w:rPr>
          <w:rFonts w:eastAsia="Times New Roman" w:cs="Arial"/>
          <w:color w:val="000000"/>
          <w:szCs w:val="22"/>
          <w:lang w:eastAsia="en-GB"/>
        </w:rPr>
        <w:t>decisions will be made on a quarterly basis, typically occurring in January, April and June.</w:t>
      </w:r>
    </w:p>
    <w:p w:rsidR="00160892" w:rsidRPr="00160892" w:rsidRDefault="00160892" w:rsidP="00160892">
      <w:pPr>
        <w:spacing w:line="270" w:lineRule="atLeast"/>
        <w:jc w:val="both"/>
        <w:rPr>
          <w:rFonts w:eastAsia="Times New Roman" w:cs="Arial"/>
          <w:color w:val="000000"/>
          <w:szCs w:val="22"/>
          <w:lang w:eastAsia="en-GB"/>
        </w:rPr>
      </w:pPr>
    </w:p>
    <w:p w:rsidR="00731349" w:rsidRPr="00160892" w:rsidRDefault="00731349" w:rsidP="00160892">
      <w:pPr>
        <w:pStyle w:val="ListParagraph"/>
        <w:numPr>
          <w:ilvl w:val="0"/>
          <w:numId w:val="24"/>
        </w:numPr>
        <w:spacing w:line="270" w:lineRule="atLeast"/>
        <w:jc w:val="both"/>
        <w:rPr>
          <w:rFonts w:eastAsia="Times New Roman" w:cs="Arial"/>
          <w:b/>
          <w:bCs/>
          <w:color w:val="000000"/>
          <w:szCs w:val="22"/>
          <w:u w:val="single"/>
          <w:lang w:eastAsia="en-GB"/>
        </w:rPr>
      </w:pPr>
      <w:r w:rsidRPr="00160892">
        <w:rPr>
          <w:rFonts w:eastAsia="Times New Roman" w:cs="Arial"/>
          <w:b/>
          <w:bCs/>
          <w:color w:val="000000"/>
          <w:szCs w:val="22"/>
          <w:u w:val="single"/>
          <w:lang w:eastAsia="en-GB"/>
        </w:rPr>
        <w:t>Communication</w:t>
      </w:r>
    </w:p>
    <w:p w:rsidR="00731349" w:rsidRPr="00160892" w:rsidRDefault="00731349" w:rsidP="00160892">
      <w:pPr>
        <w:jc w:val="both"/>
        <w:rPr>
          <w:rFonts w:ascii="Times New Roman" w:eastAsia="Times New Roman" w:hAnsi="Times New Roman" w:cs="Times New Roman"/>
          <w:color w:val="000000"/>
          <w:szCs w:val="22"/>
          <w:lang w:eastAsia="en-GB"/>
        </w:rPr>
      </w:pPr>
    </w:p>
    <w:p w:rsidR="00731349" w:rsidRPr="00160892" w:rsidRDefault="00731349" w:rsidP="00160892">
      <w:pPr>
        <w:spacing w:line="270" w:lineRule="atLeast"/>
        <w:jc w:val="both"/>
        <w:rPr>
          <w:rFonts w:eastAsia="Times New Roman" w:cs="Arial"/>
          <w:color w:val="000000"/>
          <w:szCs w:val="22"/>
          <w:lang w:eastAsia="en-GB"/>
        </w:rPr>
      </w:pPr>
      <w:r w:rsidRPr="00160892">
        <w:rPr>
          <w:rFonts w:eastAsia="Times New Roman" w:cs="Arial"/>
          <w:color w:val="000000"/>
          <w:szCs w:val="22"/>
          <w:lang w:eastAsia="en-GB"/>
        </w:rPr>
        <w:t xml:space="preserve">All selected players will be informed by email from their Regional Pathway Coach no later than </w:t>
      </w:r>
      <w:r w:rsidR="0095184F" w:rsidRPr="00160892">
        <w:rPr>
          <w:rFonts w:eastAsia="Times New Roman" w:cs="Arial"/>
          <w:color w:val="000000"/>
          <w:szCs w:val="22"/>
          <w:lang w:eastAsia="en-GB"/>
        </w:rPr>
        <w:t>31</w:t>
      </w:r>
      <w:r w:rsidR="0095184F" w:rsidRPr="00160892">
        <w:rPr>
          <w:rFonts w:eastAsia="Times New Roman" w:cs="Arial"/>
          <w:color w:val="000000"/>
          <w:szCs w:val="22"/>
          <w:vertAlign w:val="superscript"/>
          <w:lang w:eastAsia="en-GB"/>
        </w:rPr>
        <w:t>st</w:t>
      </w:r>
      <w:r w:rsidR="0095184F" w:rsidRPr="00160892">
        <w:rPr>
          <w:rFonts w:eastAsia="Times New Roman" w:cs="Arial"/>
          <w:color w:val="000000"/>
          <w:szCs w:val="22"/>
          <w:lang w:eastAsia="en-GB"/>
        </w:rPr>
        <w:t xml:space="preserve"> </w:t>
      </w:r>
      <w:r w:rsidRPr="00160892">
        <w:rPr>
          <w:rFonts w:eastAsia="Times New Roman" w:cs="Arial"/>
          <w:color w:val="000000"/>
          <w:szCs w:val="22"/>
          <w:lang w:eastAsia="en-GB"/>
        </w:rPr>
        <w:t xml:space="preserve">July 2019. </w:t>
      </w:r>
    </w:p>
    <w:p w:rsidR="00731349" w:rsidRDefault="00731349" w:rsidP="00160892">
      <w:pPr>
        <w:spacing w:line="270" w:lineRule="atLeast"/>
        <w:jc w:val="both"/>
        <w:rPr>
          <w:rFonts w:eastAsia="Times New Roman" w:cs="Arial"/>
          <w:color w:val="000000"/>
          <w:szCs w:val="22"/>
          <w:lang w:eastAsia="en-GB"/>
        </w:rPr>
      </w:pPr>
      <w:r w:rsidRPr="00160892">
        <w:rPr>
          <w:rFonts w:eastAsia="Times New Roman" w:cs="Arial"/>
          <w:color w:val="000000"/>
          <w:szCs w:val="22"/>
          <w:lang w:eastAsia="en-GB"/>
        </w:rPr>
        <w:t>The LTA may amend this policy periodically. Any amended policy shall be published on the LTA website.</w:t>
      </w:r>
    </w:p>
    <w:p w:rsidR="00160892" w:rsidRPr="00160892" w:rsidRDefault="00160892" w:rsidP="00160892">
      <w:pPr>
        <w:spacing w:line="270" w:lineRule="atLeast"/>
        <w:jc w:val="both"/>
        <w:rPr>
          <w:rFonts w:eastAsia="Times New Roman" w:cs="Arial"/>
          <w:color w:val="000000"/>
          <w:szCs w:val="22"/>
          <w:lang w:eastAsia="en-GB"/>
        </w:rPr>
      </w:pPr>
    </w:p>
    <w:p w:rsidR="00A276DA" w:rsidRPr="00160892" w:rsidRDefault="00731349" w:rsidP="00160892">
      <w:pPr>
        <w:pStyle w:val="ListParagraph"/>
        <w:numPr>
          <w:ilvl w:val="0"/>
          <w:numId w:val="24"/>
        </w:numPr>
        <w:spacing w:line="285" w:lineRule="atLeast"/>
        <w:jc w:val="both"/>
        <w:rPr>
          <w:rFonts w:eastAsia="Times New Roman" w:cs="Arial"/>
          <w:b/>
          <w:bCs/>
          <w:color w:val="000000"/>
          <w:szCs w:val="22"/>
          <w:u w:val="single"/>
          <w:lang w:eastAsia="en-GB"/>
        </w:rPr>
      </w:pPr>
      <w:r w:rsidRPr="00160892">
        <w:rPr>
          <w:rFonts w:eastAsia="Times New Roman" w:cs="Arial"/>
          <w:b/>
          <w:bCs/>
          <w:color w:val="000000"/>
          <w:szCs w:val="22"/>
          <w:u w:val="single"/>
          <w:lang w:eastAsia="en-GB"/>
        </w:rPr>
        <w:t>Contact</w:t>
      </w:r>
    </w:p>
    <w:p w:rsidR="00A733B3" w:rsidRPr="00160892" w:rsidRDefault="00A733B3" w:rsidP="00160892">
      <w:pPr>
        <w:pStyle w:val="ListParagraph"/>
        <w:spacing w:line="285" w:lineRule="atLeast"/>
        <w:ind w:left="360"/>
        <w:jc w:val="both"/>
        <w:rPr>
          <w:rFonts w:eastAsia="Times New Roman" w:cs="Arial"/>
          <w:b/>
          <w:bCs/>
          <w:color w:val="000000"/>
          <w:szCs w:val="22"/>
          <w:u w:val="single"/>
          <w:lang w:eastAsia="en-GB"/>
        </w:rPr>
      </w:pPr>
    </w:p>
    <w:tbl>
      <w:tblPr>
        <w:tblW w:w="9750"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50"/>
        <w:gridCol w:w="2982"/>
        <w:gridCol w:w="3518"/>
      </w:tblGrid>
      <w:tr w:rsidR="00731349" w:rsidRPr="00160892" w:rsidTr="005272D6">
        <w:trPr>
          <w:trHeight w:val="315"/>
          <w:tblCellSpacing w:w="0" w:type="dxa"/>
        </w:trPr>
        <w:tc>
          <w:tcPr>
            <w:tcW w:w="3250" w:type="dxa"/>
            <w:vAlign w:val="bottom"/>
            <w:hideMark/>
          </w:tcPr>
          <w:p w:rsidR="00B44843" w:rsidRPr="00160892" w:rsidRDefault="00731349" w:rsidP="00160892">
            <w:pPr>
              <w:spacing w:line="285" w:lineRule="atLeast"/>
              <w:jc w:val="both"/>
              <w:rPr>
                <w:rFonts w:eastAsia="Times New Roman" w:cs="Arial"/>
                <w:b/>
                <w:bCs/>
                <w:sz w:val="20"/>
                <w:szCs w:val="22"/>
                <w:lang w:eastAsia="en-GB"/>
              </w:rPr>
            </w:pPr>
            <w:r w:rsidRPr="00160892">
              <w:rPr>
                <w:rFonts w:eastAsia="Times New Roman" w:cs="Arial"/>
                <w:b/>
                <w:bCs/>
                <w:sz w:val="20"/>
                <w:szCs w:val="22"/>
                <w:lang w:eastAsia="en-GB"/>
              </w:rPr>
              <w:t>Region</w:t>
            </w:r>
          </w:p>
        </w:tc>
        <w:tc>
          <w:tcPr>
            <w:tcW w:w="2982" w:type="dxa"/>
            <w:vAlign w:val="bottom"/>
            <w:hideMark/>
          </w:tcPr>
          <w:p w:rsidR="00B44843" w:rsidRPr="00160892" w:rsidRDefault="00731349" w:rsidP="00160892">
            <w:pPr>
              <w:spacing w:line="285" w:lineRule="atLeast"/>
              <w:jc w:val="both"/>
              <w:rPr>
                <w:rFonts w:eastAsia="Times New Roman" w:cs="Arial"/>
                <w:b/>
                <w:bCs/>
                <w:sz w:val="20"/>
                <w:szCs w:val="22"/>
                <w:lang w:eastAsia="en-GB"/>
              </w:rPr>
            </w:pPr>
            <w:r w:rsidRPr="00160892">
              <w:rPr>
                <w:rFonts w:eastAsia="Times New Roman" w:cs="Arial"/>
                <w:b/>
                <w:bCs/>
                <w:sz w:val="20"/>
                <w:szCs w:val="22"/>
                <w:lang w:eastAsia="en-GB"/>
              </w:rPr>
              <w:t>Contact</w:t>
            </w:r>
          </w:p>
        </w:tc>
        <w:tc>
          <w:tcPr>
            <w:tcW w:w="3518" w:type="dxa"/>
            <w:vAlign w:val="bottom"/>
            <w:hideMark/>
          </w:tcPr>
          <w:p w:rsidR="00B44843" w:rsidRPr="00160892" w:rsidRDefault="00731349" w:rsidP="00160892">
            <w:pPr>
              <w:spacing w:line="285" w:lineRule="atLeast"/>
              <w:jc w:val="both"/>
              <w:rPr>
                <w:rFonts w:eastAsia="Times New Roman" w:cs="Arial"/>
                <w:b/>
                <w:bCs/>
                <w:sz w:val="20"/>
                <w:szCs w:val="22"/>
                <w:lang w:eastAsia="en-GB"/>
              </w:rPr>
            </w:pPr>
            <w:r w:rsidRPr="00160892">
              <w:rPr>
                <w:rFonts w:eastAsia="Times New Roman" w:cs="Arial"/>
                <w:b/>
                <w:bCs/>
                <w:sz w:val="20"/>
                <w:szCs w:val="22"/>
                <w:lang w:eastAsia="en-GB"/>
              </w:rPr>
              <w:t>Email</w:t>
            </w:r>
          </w:p>
        </w:tc>
      </w:tr>
      <w:tr w:rsidR="00731349" w:rsidRPr="00160892" w:rsidTr="005272D6">
        <w:trPr>
          <w:trHeight w:val="285"/>
          <w:tblCellSpacing w:w="0" w:type="dxa"/>
        </w:trPr>
        <w:tc>
          <w:tcPr>
            <w:tcW w:w="3250" w:type="dxa"/>
            <w:vAlign w:val="bottom"/>
            <w:hideMark/>
          </w:tcPr>
          <w:p w:rsidR="00B44843" w:rsidRPr="00160892" w:rsidRDefault="00A733B3" w:rsidP="00160892">
            <w:pPr>
              <w:spacing w:line="270" w:lineRule="atLeast"/>
              <w:jc w:val="both"/>
              <w:rPr>
                <w:rFonts w:eastAsia="Times New Roman" w:cs="Arial"/>
                <w:sz w:val="20"/>
                <w:szCs w:val="22"/>
                <w:lang w:eastAsia="en-GB"/>
              </w:rPr>
            </w:pPr>
            <w:r w:rsidRPr="00160892">
              <w:rPr>
                <w:rFonts w:eastAsia="Times New Roman" w:cs="Arial"/>
                <w:sz w:val="20"/>
                <w:szCs w:val="22"/>
                <w:lang w:eastAsia="en-GB"/>
              </w:rPr>
              <w:t>North inc. North Wales</w:t>
            </w:r>
          </w:p>
        </w:tc>
        <w:tc>
          <w:tcPr>
            <w:tcW w:w="2982" w:type="dxa"/>
            <w:vAlign w:val="bottom"/>
            <w:hideMark/>
          </w:tcPr>
          <w:p w:rsidR="00B44843" w:rsidRPr="00160892" w:rsidRDefault="00731349" w:rsidP="00160892">
            <w:pPr>
              <w:spacing w:line="270" w:lineRule="atLeast"/>
              <w:jc w:val="both"/>
              <w:rPr>
                <w:rFonts w:eastAsia="Times New Roman" w:cs="Arial"/>
                <w:sz w:val="20"/>
                <w:szCs w:val="22"/>
                <w:lang w:eastAsia="en-GB"/>
              </w:rPr>
            </w:pPr>
            <w:r w:rsidRPr="00160892">
              <w:rPr>
                <w:rFonts w:eastAsia="Times New Roman" w:cs="Arial"/>
                <w:sz w:val="20"/>
                <w:szCs w:val="22"/>
                <w:lang w:eastAsia="en-GB"/>
              </w:rPr>
              <w:t>Chris Peet</w:t>
            </w:r>
          </w:p>
        </w:tc>
        <w:tc>
          <w:tcPr>
            <w:tcW w:w="3518" w:type="dxa"/>
            <w:vAlign w:val="bottom"/>
            <w:hideMark/>
          </w:tcPr>
          <w:p w:rsidR="00B44843" w:rsidRPr="00160892" w:rsidRDefault="008F4260" w:rsidP="00160892">
            <w:pPr>
              <w:spacing w:line="270" w:lineRule="atLeast"/>
              <w:jc w:val="both"/>
              <w:rPr>
                <w:rFonts w:eastAsia="Times New Roman" w:cs="Arial"/>
                <w:color w:val="0000FF"/>
                <w:sz w:val="20"/>
                <w:szCs w:val="22"/>
                <w:u w:val="single"/>
                <w:lang w:eastAsia="en-GB"/>
              </w:rPr>
            </w:pPr>
            <w:hyperlink r:id="rId9" w:history="1">
              <w:r w:rsidR="00731349" w:rsidRPr="00160892">
                <w:rPr>
                  <w:rFonts w:eastAsia="Times New Roman" w:cs="Arial"/>
                  <w:color w:val="0000FF"/>
                  <w:sz w:val="20"/>
                  <w:szCs w:val="22"/>
                  <w:u w:val="single"/>
                  <w:lang w:eastAsia="en-GB"/>
                </w:rPr>
                <w:t>chris.peet@lta.org.uk</w:t>
              </w:r>
            </w:hyperlink>
          </w:p>
        </w:tc>
      </w:tr>
      <w:tr w:rsidR="00731349" w:rsidRPr="00160892" w:rsidTr="005272D6">
        <w:trPr>
          <w:trHeight w:val="300"/>
          <w:tblCellSpacing w:w="0" w:type="dxa"/>
        </w:trPr>
        <w:tc>
          <w:tcPr>
            <w:tcW w:w="3250" w:type="dxa"/>
            <w:vAlign w:val="bottom"/>
            <w:hideMark/>
          </w:tcPr>
          <w:p w:rsidR="00B44843" w:rsidRPr="00160892" w:rsidRDefault="00731349" w:rsidP="00160892">
            <w:pPr>
              <w:spacing w:line="270" w:lineRule="atLeast"/>
              <w:jc w:val="both"/>
              <w:rPr>
                <w:rFonts w:eastAsia="Times New Roman" w:cs="Arial"/>
                <w:sz w:val="20"/>
                <w:szCs w:val="22"/>
                <w:lang w:eastAsia="en-GB"/>
              </w:rPr>
            </w:pPr>
            <w:r w:rsidRPr="00160892">
              <w:rPr>
                <w:rFonts w:eastAsia="Times New Roman" w:cs="Arial"/>
                <w:sz w:val="20"/>
                <w:szCs w:val="22"/>
                <w:lang w:eastAsia="en-GB"/>
              </w:rPr>
              <w:t>Midlands</w:t>
            </w:r>
          </w:p>
        </w:tc>
        <w:tc>
          <w:tcPr>
            <w:tcW w:w="2982" w:type="dxa"/>
            <w:vAlign w:val="bottom"/>
            <w:hideMark/>
          </w:tcPr>
          <w:p w:rsidR="00B44843" w:rsidRPr="00160892" w:rsidRDefault="00731349" w:rsidP="00160892">
            <w:pPr>
              <w:spacing w:line="270" w:lineRule="atLeast"/>
              <w:jc w:val="both"/>
              <w:rPr>
                <w:rFonts w:eastAsia="Times New Roman" w:cs="Arial"/>
                <w:sz w:val="20"/>
                <w:szCs w:val="22"/>
                <w:lang w:eastAsia="en-GB"/>
              </w:rPr>
            </w:pPr>
            <w:r w:rsidRPr="00160892">
              <w:rPr>
                <w:rFonts w:eastAsia="Times New Roman" w:cs="Arial"/>
                <w:sz w:val="20"/>
                <w:szCs w:val="22"/>
                <w:lang w:eastAsia="en-GB"/>
              </w:rPr>
              <w:t>Phil Newbury</w:t>
            </w:r>
          </w:p>
        </w:tc>
        <w:tc>
          <w:tcPr>
            <w:tcW w:w="3518" w:type="dxa"/>
            <w:vAlign w:val="bottom"/>
            <w:hideMark/>
          </w:tcPr>
          <w:p w:rsidR="00B44843" w:rsidRPr="00160892" w:rsidRDefault="008F4260" w:rsidP="00160892">
            <w:pPr>
              <w:spacing w:line="270" w:lineRule="atLeast"/>
              <w:jc w:val="both"/>
              <w:rPr>
                <w:rFonts w:eastAsia="Times New Roman" w:cs="Arial"/>
                <w:color w:val="0000FF"/>
                <w:sz w:val="20"/>
                <w:szCs w:val="22"/>
                <w:u w:val="single"/>
                <w:lang w:eastAsia="en-GB"/>
              </w:rPr>
            </w:pPr>
            <w:hyperlink r:id="rId10" w:history="1">
              <w:r w:rsidR="00731349" w:rsidRPr="00160892">
                <w:rPr>
                  <w:rStyle w:val="Hyperlink"/>
                  <w:rFonts w:eastAsia="Times New Roman" w:cs="Arial"/>
                  <w:sz w:val="20"/>
                  <w:szCs w:val="22"/>
                  <w:lang w:eastAsia="en-GB"/>
                </w:rPr>
                <w:t>phil.newbury@lta.org.uk</w:t>
              </w:r>
            </w:hyperlink>
          </w:p>
        </w:tc>
      </w:tr>
      <w:tr w:rsidR="00731349" w:rsidRPr="00160892" w:rsidTr="005272D6">
        <w:trPr>
          <w:trHeight w:val="285"/>
          <w:tblCellSpacing w:w="0" w:type="dxa"/>
        </w:trPr>
        <w:tc>
          <w:tcPr>
            <w:tcW w:w="3250" w:type="dxa"/>
            <w:vAlign w:val="bottom"/>
            <w:hideMark/>
          </w:tcPr>
          <w:p w:rsidR="00B44843" w:rsidRPr="00160892" w:rsidRDefault="00731349" w:rsidP="00160892">
            <w:pPr>
              <w:spacing w:line="270" w:lineRule="atLeast"/>
              <w:jc w:val="both"/>
              <w:rPr>
                <w:rFonts w:eastAsia="Times New Roman" w:cs="Arial"/>
                <w:sz w:val="20"/>
                <w:szCs w:val="22"/>
                <w:lang w:eastAsia="en-GB"/>
              </w:rPr>
            </w:pPr>
            <w:r w:rsidRPr="00160892">
              <w:rPr>
                <w:rFonts w:eastAsia="Times New Roman" w:cs="Arial"/>
                <w:sz w:val="20"/>
                <w:szCs w:val="22"/>
                <w:lang w:eastAsia="en-GB"/>
              </w:rPr>
              <w:t>Central &amp; East</w:t>
            </w:r>
          </w:p>
        </w:tc>
        <w:tc>
          <w:tcPr>
            <w:tcW w:w="2982" w:type="dxa"/>
            <w:vAlign w:val="bottom"/>
            <w:hideMark/>
          </w:tcPr>
          <w:p w:rsidR="00B44843" w:rsidRPr="00160892" w:rsidRDefault="00731349" w:rsidP="00160892">
            <w:pPr>
              <w:spacing w:line="270" w:lineRule="atLeast"/>
              <w:jc w:val="both"/>
              <w:rPr>
                <w:rFonts w:eastAsia="Times New Roman" w:cs="Arial"/>
                <w:sz w:val="20"/>
                <w:szCs w:val="22"/>
                <w:lang w:eastAsia="en-GB"/>
              </w:rPr>
            </w:pPr>
            <w:r w:rsidRPr="00160892">
              <w:rPr>
                <w:rFonts w:eastAsia="Times New Roman" w:cs="Arial"/>
                <w:sz w:val="20"/>
                <w:szCs w:val="22"/>
                <w:lang w:eastAsia="en-GB"/>
              </w:rPr>
              <w:t>Sarah Hylton</w:t>
            </w:r>
          </w:p>
        </w:tc>
        <w:tc>
          <w:tcPr>
            <w:tcW w:w="3518" w:type="dxa"/>
            <w:vAlign w:val="bottom"/>
            <w:hideMark/>
          </w:tcPr>
          <w:p w:rsidR="00B44843" w:rsidRPr="00160892" w:rsidRDefault="008F4260" w:rsidP="00160892">
            <w:pPr>
              <w:spacing w:line="270" w:lineRule="atLeast"/>
              <w:jc w:val="both"/>
              <w:rPr>
                <w:rFonts w:eastAsia="Times New Roman" w:cs="Arial"/>
                <w:color w:val="0000FF"/>
                <w:sz w:val="20"/>
                <w:szCs w:val="22"/>
                <w:u w:val="single"/>
                <w:lang w:eastAsia="en-GB"/>
              </w:rPr>
            </w:pPr>
            <w:hyperlink r:id="rId11" w:history="1">
              <w:r w:rsidR="00731349" w:rsidRPr="00160892">
                <w:rPr>
                  <w:rFonts w:eastAsia="Times New Roman" w:cs="Arial"/>
                  <w:color w:val="0000FF"/>
                  <w:sz w:val="20"/>
                  <w:szCs w:val="22"/>
                  <w:u w:val="single"/>
                  <w:lang w:eastAsia="en-GB"/>
                </w:rPr>
                <w:t>sarah.hylton@lta.org.uk</w:t>
              </w:r>
            </w:hyperlink>
          </w:p>
        </w:tc>
      </w:tr>
      <w:tr w:rsidR="00731349" w:rsidRPr="00160892" w:rsidTr="005272D6">
        <w:trPr>
          <w:trHeight w:val="300"/>
          <w:tblCellSpacing w:w="0" w:type="dxa"/>
        </w:trPr>
        <w:tc>
          <w:tcPr>
            <w:tcW w:w="3250" w:type="dxa"/>
            <w:vAlign w:val="bottom"/>
            <w:hideMark/>
          </w:tcPr>
          <w:p w:rsidR="00B44843" w:rsidRPr="00160892" w:rsidRDefault="00731349" w:rsidP="00160892">
            <w:pPr>
              <w:spacing w:line="270" w:lineRule="atLeast"/>
              <w:jc w:val="both"/>
              <w:rPr>
                <w:rFonts w:eastAsia="Times New Roman" w:cs="Arial"/>
                <w:sz w:val="20"/>
                <w:szCs w:val="22"/>
                <w:lang w:eastAsia="en-GB"/>
              </w:rPr>
            </w:pPr>
            <w:r w:rsidRPr="00160892">
              <w:rPr>
                <w:rFonts w:eastAsia="Times New Roman" w:cs="Arial"/>
                <w:sz w:val="20"/>
                <w:szCs w:val="22"/>
                <w:lang w:eastAsia="en-GB"/>
              </w:rPr>
              <w:t>London &amp; South East</w:t>
            </w:r>
          </w:p>
        </w:tc>
        <w:tc>
          <w:tcPr>
            <w:tcW w:w="2982" w:type="dxa"/>
            <w:vAlign w:val="bottom"/>
            <w:hideMark/>
          </w:tcPr>
          <w:p w:rsidR="00B44843" w:rsidRPr="00160892" w:rsidRDefault="00731349" w:rsidP="00160892">
            <w:pPr>
              <w:spacing w:line="270" w:lineRule="atLeast"/>
              <w:jc w:val="both"/>
              <w:rPr>
                <w:rFonts w:eastAsia="Times New Roman" w:cs="Arial"/>
                <w:sz w:val="20"/>
                <w:szCs w:val="22"/>
                <w:lang w:eastAsia="en-GB"/>
              </w:rPr>
            </w:pPr>
            <w:r w:rsidRPr="00160892">
              <w:rPr>
                <w:rFonts w:eastAsia="Times New Roman" w:cs="Arial"/>
                <w:sz w:val="20"/>
                <w:szCs w:val="22"/>
                <w:lang w:eastAsia="en-GB"/>
              </w:rPr>
              <w:t>Andy Barnes - interim</w:t>
            </w:r>
          </w:p>
        </w:tc>
        <w:tc>
          <w:tcPr>
            <w:tcW w:w="3518" w:type="dxa"/>
            <w:vAlign w:val="bottom"/>
            <w:hideMark/>
          </w:tcPr>
          <w:p w:rsidR="00B44843" w:rsidRPr="00160892" w:rsidRDefault="008F4260" w:rsidP="00160892">
            <w:pPr>
              <w:spacing w:line="270" w:lineRule="atLeast"/>
              <w:jc w:val="both"/>
              <w:rPr>
                <w:rFonts w:eastAsia="Times New Roman" w:cs="Arial"/>
                <w:color w:val="0000FF"/>
                <w:sz w:val="20"/>
                <w:szCs w:val="22"/>
                <w:u w:val="single"/>
                <w:lang w:eastAsia="en-GB"/>
              </w:rPr>
            </w:pPr>
            <w:hyperlink r:id="rId12" w:history="1">
              <w:r w:rsidR="00731349" w:rsidRPr="00160892">
                <w:rPr>
                  <w:rStyle w:val="Hyperlink"/>
                  <w:rFonts w:eastAsia="Times New Roman" w:cs="Arial"/>
                  <w:sz w:val="20"/>
                  <w:szCs w:val="22"/>
                  <w:lang w:eastAsia="en-GB"/>
                </w:rPr>
                <w:t>andy.barnes@lta.org.uk</w:t>
              </w:r>
            </w:hyperlink>
          </w:p>
        </w:tc>
      </w:tr>
      <w:tr w:rsidR="00A733B3" w:rsidRPr="00160892" w:rsidTr="005272D6">
        <w:trPr>
          <w:trHeight w:val="270"/>
          <w:tblCellSpacing w:w="0" w:type="dxa"/>
        </w:trPr>
        <w:tc>
          <w:tcPr>
            <w:tcW w:w="3250" w:type="dxa"/>
            <w:vAlign w:val="bottom"/>
            <w:hideMark/>
          </w:tcPr>
          <w:p w:rsidR="00A733B3" w:rsidRPr="00160892" w:rsidRDefault="00A733B3" w:rsidP="00160892">
            <w:pPr>
              <w:spacing w:line="270" w:lineRule="atLeast"/>
              <w:jc w:val="both"/>
              <w:rPr>
                <w:rFonts w:eastAsia="Times New Roman" w:cs="Arial"/>
                <w:sz w:val="20"/>
                <w:szCs w:val="22"/>
                <w:lang w:eastAsia="en-GB"/>
              </w:rPr>
            </w:pPr>
            <w:r w:rsidRPr="00160892">
              <w:rPr>
                <w:rFonts w:eastAsia="Times New Roman" w:cs="Arial"/>
                <w:sz w:val="20"/>
                <w:szCs w:val="22"/>
                <w:lang w:eastAsia="en-GB"/>
              </w:rPr>
              <w:t>South &amp; South West inc. S Wales</w:t>
            </w:r>
          </w:p>
        </w:tc>
        <w:tc>
          <w:tcPr>
            <w:tcW w:w="2982" w:type="dxa"/>
            <w:vAlign w:val="bottom"/>
            <w:hideMark/>
          </w:tcPr>
          <w:p w:rsidR="00A733B3" w:rsidRPr="00160892" w:rsidRDefault="00A733B3" w:rsidP="00160892">
            <w:pPr>
              <w:spacing w:line="270" w:lineRule="atLeast"/>
              <w:jc w:val="both"/>
              <w:rPr>
                <w:rFonts w:eastAsia="Times New Roman" w:cs="Arial"/>
                <w:sz w:val="20"/>
                <w:szCs w:val="22"/>
                <w:lang w:eastAsia="en-GB"/>
              </w:rPr>
            </w:pPr>
            <w:r w:rsidRPr="00160892">
              <w:rPr>
                <w:rFonts w:eastAsia="Times New Roman" w:cs="Arial"/>
                <w:sz w:val="20"/>
                <w:szCs w:val="22"/>
                <w:lang w:eastAsia="en-GB"/>
              </w:rPr>
              <w:t>Tom Corrie</w:t>
            </w:r>
          </w:p>
        </w:tc>
        <w:tc>
          <w:tcPr>
            <w:tcW w:w="3518" w:type="dxa"/>
            <w:vAlign w:val="bottom"/>
            <w:hideMark/>
          </w:tcPr>
          <w:p w:rsidR="00A733B3" w:rsidRPr="00160892" w:rsidRDefault="00A733B3" w:rsidP="00160892">
            <w:pPr>
              <w:spacing w:line="270" w:lineRule="atLeast"/>
              <w:jc w:val="both"/>
              <w:rPr>
                <w:rFonts w:eastAsia="Times New Roman" w:cs="Arial"/>
                <w:color w:val="0000FF"/>
                <w:sz w:val="20"/>
                <w:szCs w:val="22"/>
                <w:u w:val="single"/>
                <w:lang w:eastAsia="en-GB"/>
              </w:rPr>
            </w:pPr>
            <w:r w:rsidRPr="00160892">
              <w:rPr>
                <w:rFonts w:eastAsia="Times New Roman" w:cs="Arial"/>
                <w:color w:val="0000FF"/>
                <w:sz w:val="20"/>
                <w:szCs w:val="22"/>
                <w:u w:val="single"/>
                <w:lang w:eastAsia="en-GB"/>
              </w:rPr>
              <w:t>tom.corrie@lta.org.uk</w:t>
            </w:r>
          </w:p>
        </w:tc>
      </w:tr>
      <w:tr w:rsidR="00A733B3" w:rsidRPr="00160892" w:rsidTr="005272D6">
        <w:trPr>
          <w:trHeight w:val="300"/>
          <w:tblCellSpacing w:w="0" w:type="dxa"/>
        </w:trPr>
        <w:tc>
          <w:tcPr>
            <w:tcW w:w="3250" w:type="dxa"/>
            <w:vAlign w:val="bottom"/>
          </w:tcPr>
          <w:p w:rsidR="00A733B3" w:rsidRPr="00160892" w:rsidRDefault="00A733B3" w:rsidP="00160892">
            <w:pPr>
              <w:spacing w:line="270" w:lineRule="atLeast"/>
              <w:jc w:val="both"/>
              <w:rPr>
                <w:rFonts w:eastAsia="Times New Roman" w:cs="Arial"/>
                <w:sz w:val="20"/>
                <w:szCs w:val="22"/>
                <w:lang w:eastAsia="en-GB"/>
              </w:rPr>
            </w:pPr>
            <w:r w:rsidRPr="00160892">
              <w:rPr>
                <w:rFonts w:eastAsia="Times New Roman" w:cs="Arial"/>
                <w:sz w:val="20"/>
                <w:szCs w:val="22"/>
                <w:lang w:eastAsia="en-GB"/>
              </w:rPr>
              <w:lastRenderedPageBreak/>
              <w:t>Scotland</w:t>
            </w:r>
          </w:p>
        </w:tc>
        <w:tc>
          <w:tcPr>
            <w:tcW w:w="2982" w:type="dxa"/>
            <w:vAlign w:val="bottom"/>
          </w:tcPr>
          <w:p w:rsidR="00A733B3" w:rsidRPr="00160892" w:rsidRDefault="00A733B3" w:rsidP="00160892">
            <w:pPr>
              <w:spacing w:line="270" w:lineRule="atLeast"/>
              <w:jc w:val="both"/>
              <w:rPr>
                <w:rFonts w:eastAsia="Times New Roman" w:cs="Arial"/>
                <w:sz w:val="20"/>
                <w:szCs w:val="22"/>
                <w:lang w:eastAsia="en-GB"/>
              </w:rPr>
            </w:pPr>
            <w:r w:rsidRPr="00160892">
              <w:rPr>
                <w:rFonts w:eastAsia="Times New Roman" w:cs="Arial"/>
                <w:sz w:val="20"/>
                <w:szCs w:val="22"/>
                <w:lang w:eastAsia="en-GB"/>
              </w:rPr>
              <w:t>Ellinore Lightbody</w:t>
            </w:r>
          </w:p>
        </w:tc>
        <w:tc>
          <w:tcPr>
            <w:tcW w:w="3518" w:type="dxa"/>
            <w:vAlign w:val="bottom"/>
          </w:tcPr>
          <w:p w:rsidR="00A733B3" w:rsidRPr="00160892" w:rsidRDefault="008F4260" w:rsidP="00160892">
            <w:pPr>
              <w:spacing w:line="270" w:lineRule="atLeast"/>
              <w:jc w:val="both"/>
              <w:rPr>
                <w:sz w:val="20"/>
                <w:szCs w:val="22"/>
              </w:rPr>
            </w:pPr>
            <w:hyperlink r:id="rId13" w:history="1">
              <w:r w:rsidR="00A733B3" w:rsidRPr="00160892">
                <w:rPr>
                  <w:rStyle w:val="Hyperlink"/>
                  <w:sz w:val="20"/>
                  <w:szCs w:val="22"/>
                </w:rPr>
                <w:t>ellinore.lightbody@tennisscotland.org</w:t>
              </w:r>
            </w:hyperlink>
            <w:r w:rsidR="00A733B3" w:rsidRPr="00160892">
              <w:rPr>
                <w:sz w:val="20"/>
                <w:szCs w:val="22"/>
              </w:rPr>
              <w:t xml:space="preserve"> </w:t>
            </w:r>
          </w:p>
        </w:tc>
      </w:tr>
    </w:tbl>
    <w:p w:rsidR="00812D4E" w:rsidRPr="00160892" w:rsidRDefault="00812D4E" w:rsidP="00160892">
      <w:pPr>
        <w:jc w:val="both"/>
        <w:rPr>
          <w:szCs w:val="22"/>
        </w:rPr>
      </w:pPr>
    </w:p>
    <w:sectPr w:rsidR="00812D4E" w:rsidRPr="00160892" w:rsidSect="00763A5C">
      <w:headerReference w:type="default" r:id="rId14"/>
      <w:footerReference w:type="default" r:id="rId15"/>
      <w:headerReference w:type="first" r:id="rId16"/>
      <w:footerReference w:type="first" r:id="rId17"/>
      <w:pgSz w:w="11906" w:h="16838" w:code="9"/>
      <w:pgMar w:top="1134" w:right="1558" w:bottom="1474" w:left="1134"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ACB" w:rsidRDefault="00F81ACB">
      <w:r>
        <w:separator/>
      </w:r>
    </w:p>
  </w:endnote>
  <w:endnote w:type="continuationSeparator" w:id="0">
    <w:p w:rsidR="00F81ACB" w:rsidRDefault="00F8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A5C" w:rsidRDefault="00881150">
    <w:pPr>
      <w:pStyle w:val="Footer"/>
    </w:pPr>
    <w:r>
      <w:rPr>
        <w:noProof/>
        <w:lang w:eastAsia="en-GB"/>
      </w:rPr>
      <w:drawing>
        <wp:inline distT="0" distB="0" distL="0" distR="0" wp14:anchorId="67445307" wp14:editId="43321B3E">
          <wp:extent cx="6650915" cy="951731"/>
          <wp:effectExtent l="0" t="0" r="0" b="1270"/>
          <wp:docPr id="2" name="Picture 2" descr="Marketing Media:LTA:LTA:Launch Day:I.T :Digital Templates:Footers:LTA_2019_Footers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arketing Media:LTA:LTA:Launch Day:I.T :Digital Templates:Footers:LTA_2019_Footers_LANDSCAP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49472" cy="951524"/>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A5C" w:rsidRDefault="00925B4B" w:rsidP="00763A5C">
    <w:pPr>
      <w:pStyle w:val="Footer"/>
      <w:ind w:left="-993" w:right="-1134" w:hanging="141"/>
    </w:pPr>
    <w:r>
      <w:rPr>
        <w:noProof/>
        <w:lang w:eastAsia="en-GB"/>
      </w:rPr>
      <w:drawing>
        <wp:inline distT="0" distB="0" distL="0" distR="0" wp14:anchorId="738F4323" wp14:editId="5A0F8DAC">
          <wp:extent cx="7543800" cy="1079500"/>
          <wp:effectExtent l="0" t="0" r="0" b="12700"/>
          <wp:docPr id="71" name="Picture 71" descr="Marketing Media:LTA:LTA:Launch Day:I.T :Digital Templates:Footers:LTA_2019_Footers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arketing Media:LTA:LTA:Launch Day:I.T :Digital Templates:Footers:LTA_2019_Footers_LANDSCAP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43800" cy="1079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ACB" w:rsidRDefault="00F81ACB">
      <w:r>
        <w:separator/>
      </w:r>
    </w:p>
  </w:footnote>
  <w:footnote w:type="continuationSeparator" w:id="0">
    <w:p w:rsidR="00F81ACB" w:rsidRDefault="00F81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1" w:rightFromText="181" w:vertAnchor="page" w:tblpY="1584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488"/>
    </w:tblGrid>
    <w:tr w:rsidR="00763A5C">
      <w:trPr>
        <w:trHeight w:val="284"/>
      </w:trPr>
      <w:tc>
        <w:tcPr>
          <w:tcW w:w="7488" w:type="dxa"/>
        </w:tcPr>
        <w:p w:rsidR="00763A5C" w:rsidRDefault="008F4260" w:rsidP="0009384D">
          <w:pPr>
            <w:pStyle w:val="FooterRef"/>
          </w:pPr>
          <w:r>
            <w:fldChar w:fldCharType="begin"/>
          </w:r>
          <w:r>
            <w:instrText xml:space="preserve"> STYLEREF  "Footer Ref."  \* MERGEFORMAT </w:instrText>
          </w:r>
          <w:r>
            <w:fldChar w:fldCharType="separate"/>
          </w:r>
          <w:r>
            <w:rPr>
              <w:noProof/>
            </w:rPr>
            <w:t>Regional Training Selection Policy – June 2019</w:t>
          </w:r>
          <w:r>
            <w:rPr>
              <w:noProof/>
            </w:rPr>
            <w:fldChar w:fldCharType="end"/>
          </w:r>
        </w:p>
      </w:tc>
    </w:tr>
  </w:tbl>
  <w:p w:rsidR="00763A5C" w:rsidRDefault="00763A5C" w:rsidP="00061673">
    <w:pPr>
      <w:pStyle w:val="Header"/>
      <w:spacing w:after="13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A5C" w:rsidRDefault="00763A5C" w:rsidP="00763A5C">
    <w:pPr>
      <w:pStyle w:val="Header"/>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0E2E8C"/>
    <w:lvl w:ilvl="0">
      <w:start w:val="1"/>
      <w:numFmt w:val="decimal"/>
      <w:lvlText w:val="%1."/>
      <w:lvlJc w:val="left"/>
      <w:pPr>
        <w:tabs>
          <w:tab w:val="num" w:pos="1492"/>
        </w:tabs>
        <w:ind w:left="1492" w:hanging="360"/>
      </w:pPr>
    </w:lvl>
  </w:abstractNum>
  <w:abstractNum w:abstractNumId="1">
    <w:nsid w:val="FFFFFF7D"/>
    <w:multiLevelType w:val="singleLevel"/>
    <w:tmpl w:val="7E6A4ECA"/>
    <w:lvl w:ilvl="0">
      <w:start w:val="1"/>
      <w:numFmt w:val="decimal"/>
      <w:lvlText w:val="%1."/>
      <w:lvlJc w:val="left"/>
      <w:pPr>
        <w:tabs>
          <w:tab w:val="num" w:pos="1209"/>
        </w:tabs>
        <w:ind w:left="1209" w:hanging="360"/>
      </w:pPr>
    </w:lvl>
  </w:abstractNum>
  <w:abstractNum w:abstractNumId="2">
    <w:nsid w:val="FFFFFF7E"/>
    <w:multiLevelType w:val="singleLevel"/>
    <w:tmpl w:val="7C72A9D0"/>
    <w:lvl w:ilvl="0">
      <w:start w:val="1"/>
      <w:numFmt w:val="decimal"/>
      <w:lvlText w:val="%1."/>
      <w:lvlJc w:val="left"/>
      <w:pPr>
        <w:tabs>
          <w:tab w:val="num" w:pos="926"/>
        </w:tabs>
        <w:ind w:left="926" w:hanging="360"/>
      </w:pPr>
    </w:lvl>
  </w:abstractNum>
  <w:abstractNum w:abstractNumId="3">
    <w:nsid w:val="FFFFFF7F"/>
    <w:multiLevelType w:val="singleLevel"/>
    <w:tmpl w:val="EA80B07E"/>
    <w:lvl w:ilvl="0">
      <w:start w:val="1"/>
      <w:numFmt w:val="decimal"/>
      <w:lvlText w:val="%1."/>
      <w:lvlJc w:val="left"/>
      <w:pPr>
        <w:tabs>
          <w:tab w:val="num" w:pos="643"/>
        </w:tabs>
        <w:ind w:left="643" w:hanging="360"/>
      </w:pPr>
    </w:lvl>
  </w:abstractNum>
  <w:abstractNum w:abstractNumId="4">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058D2"/>
    <w:lvl w:ilvl="0">
      <w:start w:val="1"/>
      <w:numFmt w:val="decimal"/>
      <w:lvlText w:val="%1."/>
      <w:lvlJc w:val="left"/>
      <w:pPr>
        <w:tabs>
          <w:tab w:val="num" w:pos="360"/>
        </w:tabs>
        <w:ind w:left="360" w:hanging="360"/>
      </w:pPr>
    </w:lvl>
  </w:abstractNum>
  <w:abstractNum w:abstractNumId="9">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161B50D1"/>
    <w:multiLevelType w:val="multilevel"/>
    <w:tmpl w:val="1DF2488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2">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33E7F6E"/>
    <w:multiLevelType w:val="hybridMultilevel"/>
    <w:tmpl w:val="EE72164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4642782"/>
    <w:multiLevelType w:val="hybridMultilevel"/>
    <w:tmpl w:val="34E22E48"/>
    <w:lvl w:ilvl="0" w:tplc="121E4F58">
      <w:start w:val="1"/>
      <w:numFmt w:val="bullet"/>
      <w:pStyle w:val="BulletedText"/>
      <w:lvlText w:val=""/>
      <w:lvlJc w:val="left"/>
      <w:pPr>
        <w:tabs>
          <w:tab w:val="num" w:pos="170"/>
        </w:tabs>
        <w:ind w:left="170" w:hanging="17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4B373288"/>
    <w:multiLevelType w:val="hybridMultilevel"/>
    <w:tmpl w:val="AB4AC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5A84595"/>
    <w:multiLevelType w:val="hybridMultilevel"/>
    <w:tmpl w:val="73865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66D6601"/>
    <w:multiLevelType w:val="hybridMultilevel"/>
    <w:tmpl w:val="1528D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722E20E3"/>
    <w:multiLevelType w:val="hybridMultilevel"/>
    <w:tmpl w:val="9B662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48D12AA"/>
    <w:multiLevelType w:val="hybridMultilevel"/>
    <w:tmpl w:val="4F2231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4A24C2B"/>
    <w:multiLevelType w:val="multilevel"/>
    <w:tmpl w:val="6092484C"/>
    <w:lvl w:ilvl="0">
      <w:start w:val="1"/>
      <w:numFmt w:val="decimal"/>
      <w:pStyle w:val="NumberedText"/>
      <w:lvlText w:val="%1."/>
      <w:lvlJc w:val="left"/>
      <w:pPr>
        <w:tabs>
          <w:tab w:val="num" w:pos="454"/>
        </w:tabs>
        <w:ind w:left="454" w:hanging="454"/>
      </w:pPr>
      <w:rPr>
        <w:rFonts w:ascii="Arial Bold" w:hAnsi="Arial Bold" w:hint="default"/>
        <w:b/>
        <w:i w:val="0"/>
        <w:sz w:val="22"/>
      </w:rPr>
    </w:lvl>
    <w:lvl w:ilvl="1">
      <w:start w:val="1"/>
      <w:numFmt w:val="decimal"/>
      <w:pStyle w:val="xLevel2"/>
      <w:lvlText w:val="%1.%2"/>
      <w:lvlJc w:val="left"/>
      <w:pPr>
        <w:tabs>
          <w:tab w:val="num" w:pos="1021"/>
        </w:tabs>
        <w:ind w:left="1021" w:hanging="567"/>
      </w:pPr>
      <w:rPr>
        <w:rFonts w:ascii="Arial" w:hAnsi="Arial" w:hint="default"/>
        <w:sz w:val="22"/>
      </w:rPr>
    </w:lvl>
    <w:lvl w:ilvl="2">
      <w:start w:val="1"/>
      <w:numFmt w:val="decimal"/>
      <w:pStyle w:val="xLevel3"/>
      <w:lvlText w:val="%1.%2.%3"/>
      <w:lvlJc w:val="left"/>
      <w:pPr>
        <w:tabs>
          <w:tab w:val="num" w:pos="1021"/>
        </w:tabs>
        <w:ind w:left="1021" w:hanging="454"/>
      </w:pPr>
      <w:rPr>
        <w:rFonts w:ascii="Arial" w:hAnsi="Arial" w:hint="default"/>
        <w:sz w:val="22"/>
      </w:rPr>
    </w:lvl>
    <w:lvl w:ilvl="3">
      <w:start w:val="1"/>
      <w:numFmt w:val="decimal"/>
      <w:pStyle w:val="xLevel4"/>
      <w:lvlText w:val="%1.%2.%3.%4"/>
      <w:lvlJc w:val="left"/>
      <w:pPr>
        <w:tabs>
          <w:tab w:val="num" w:pos="1701"/>
        </w:tabs>
        <w:ind w:left="1701" w:hanging="567"/>
      </w:pPr>
      <w:rPr>
        <w:rFonts w:ascii="Arial" w:hAnsi="Arial" w:hint="default"/>
        <w:sz w:val="22"/>
      </w:rPr>
    </w:lvl>
    <w:lvl w:ilvl="4">
      <w:start w:val="1"/>
      <w:numFmt w:val="decimal"/>
      <w:pStyle w:val="xLevel5"/>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75296DDE"/>
    <w:multiLevelType w:val="hybridMultilevel"/>
    <w:tmpl w:val="49E40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9"/>
  </w:num>
  <w:num w:numId="13">
    <w:abstractNumId w:val="20"/>
  </w:num>
  <w:num w:numId="14">
    <w:abstractNumId w:val="10"/>
  </w:num>
  <w:num w:numId="15">
    <w:abstractNumId w:val="15"/>
  </w:num>
  <w:num w:numId="16">
    <w:abstractNumId w:val="21"/>
  </w:num>
  <w:num w:numId="17">
    <w:abstractNumId w:val="14"/>
  </w:num>
  <w:num w:numId="18">
    <w:abstractNumId w:val="12"/>
  </w:num>
  <w:num w:numId="19">
    <w:abstractNumId w:val="23"/>
  </w:num>
  <w:num w:numId="20">
    <w:abstractNumId w:val="25"/>
  </w:num>
  <w:num w:numId="21">
    <w:abstractNumId w:val="18"/>
  </w:num>
  <w:num w:numId="22">
    <w:abstractNumId w:val="17"/>
  </w:num>
  <w:num w:numId="23">
    <w:abstractNumId w:val="16"/>
  </w:num>
  <w:num w:numId="24">
    <w:abstractNumId w:val="11"/>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349"/>
    <w:rsid w:val="00004ABA"/>
    <w:rsid w:val="0001062E"/>
    <w:rsid w:val="000201CD"/>
    <w:rsid w:val="00036FB2"/>
    <w:rsid w:val="00061673"/>
    <w:rsid w:val="0009384D"/>
    <w:rsid w:val="00160892"/>
    <w:rsid w:val="00171E65"/>
    <w:rsid w:val="002060BA"/>
    <w:rsid w:val="002B642C"/>
    <w:rsid w:val="003718A0"/>
    <w:rsid w:val="003E2EF3"/>
    <w:rsid w:val="003F34DD"/>
    <w:rsid w:val="004322A1"/>
    <w:rsid w:val="00482D9B"/>
    <w:rsid w:val="004C7995"/>
    <w:rsid w:val="005272D6"/>
    <w:rsid w:val="00562FDD"/>
    <w:rsid w:val="005763EA"/>
    <w:rsid w:val="00652C54"/>
    <w:rsid w:val="0066146E"/>
    <w:rsid w:val="00664046"/>
    <w:rsid w:val="006908D1"/>
    <w:rsid w:val="006E3051"/>
    <w:rsid w:val="00731349"/>
    <w:rsid w:val="00763A5C"/>
    <w:rsid w:val="007C6241"/>
    <w:rsid w:val="007D78CC"/>
    <w:rsid w:val="00812D4E"/>
    <w:rsid w:val="00881150"/>
    <w:rsid w:val="00896817"/>
    <w:rsid w:val="008C1811"/>
    <w:rsid w:val="008E6E67"/>
    <w:rsid w:val="008F4260"/>
    <w:rsid w:val="00925B4B"/>
    <w:rsid w:val="0095184F"/>
    <w:rsid w:val="009D39B9"/>
    <w:rsid w:val="00A276DA"/>
    <w:rsid w:val="00A733B3"/>
    <w:rsid w:val="00A81E02"/>
    <w:rsid w:val="00A8409F"/>
    <w:rsid w:val="00AC13ED"/>
    <w:rsid w:val="00B017DE"/>
    <w:rsid w:val="00B67C01"/>
    <w:rsid w:val="00B82C2F"/>
    <w:rsid w:val="00BA1CD5"/>
    <w:rsid w:val="00BF6EF9"/>
    <w:rsid w:val="00C008F9"/>
    <w:rsid w:val="00CB6942"/>
    <w:rsid w:val="00D06D4F"/>
    <w:rsid w:val="00D509B1"/>
    <w:rsid w:val="00D83881"/>
    <w:rsid w:val="00E53788"/>
    <w:rsid w:val="00F509A7"/>
    <w:rsid w:val="00F81ACB"/>
    <w:rsid w:val="00FB5D8F"/>
    <w:rsid w:val="00FD65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13ED"/>
    <w:pPr>
      <w:spacing w:line="28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B82C2F"/>
    <w:pPr>
      <w:keepNext/>
      <w:outlineLvl w:val="2"/>
    </w:pPr>
    <w:rPr>
      <w:rFonts w:ascii="Arial Bold" w:hAnsi="Arial Bold"/>
      <w:b/>
      <w:bCs/>
      <w:color w:val="0086CB"/>
      <w:szCs w:val="26"/>
    </w:rPr>
  </w:style>
  <w:style w:type="paragraph" w:styleId="Heading4">
    <w:name w:val="heading 4"/>
    <w:basedOn w:val="Normal"/>
    <w:next w:val="Normal"/>
    <w:qFormat/>
    <w:rsid w:val="00B82C2F"/>
    <w:pPr>
      <w:keepNext/>
      <w:outlineLvl w:val="3"/>
    </w:pPr>
    <w:rPr>
      <w:rFonts w:ascii="Arial Bold" w:hAnsi="Arial Bold"/>
      <w:b/>
      <w:bCs/>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customStyle="1" w:styleId="DayTime">
    <w:name w:val="Day &amp; Time"/>
    <w:basedOn w:val="Normal"/>
    <w:rsid w:val="00AC13ED"/>
    <w:pPr>
      <w:spacing w:after="400"/>
    </w:pPr>
  </w:style>
  <w:style w:type="paragraph" w:customStyle="1" w:styleId="NumberedText">
    <w:name w:val="Numbered Text"/>
    <w:basedOn w:val="Normal"/>
    <w:rsid w:val="00AC13ED"/>
    <w:pPr>
      <w:numPr>
        <w:numId w:val="11"/>
      </w:numPr>
      <w:spacing w:after="80"/>
    </w:pPr>
    <w:rPr>
      <w:b/>
    </w:rPr>
  </w:style>
  <w:style w:type="paragraph" w:customStyle="1" w:styleId="xLevel2">
    <w:name w:val="xLevel 2"/>
    <w:basedOn w:val="Normal"/>
    <w:rsid w:val="0009384D"/>
    <w:pPr>
      <w:numPr>
        <w:ilvl w:val="1"/>
        <w:numId w:val="11"/>
      </w:numPr>
      <w:spacing w:after="120"/>
    </w:pPr>
  </w:style>
  <w:style w:type="paragraph" w:customStyle="1" w:styleId="xLevel3">
    <w:name w:val="xLevel 3"/>
    <w:basedOn w:val="Normal"/>
    <w:rsid w:val="00B82C2F"/>
    <w:pPr>
      <w:numPr>
        <w:ilvl w:val="2"/>
        <w:numId w:val="11"/>
      </w:numPr>
    </w:pPr>
  </w:style>
  <w:style w:type="paragraph" w:customStyle="1" w:styleId="xLevel4">
    <w:name w:val="xLevel 4"/>
    <w:basedOn w:val="Normal"/>
    <w:rsid w:val="00B82C2F"/>
    <w:pPr>
      <w:numPr>
        <w:ilvl w:val="3"/>
        <w:numId w:val="11"/>
      </w:numPr>
    </w:pPr>
  </w:style>
  <w:style w:type="paragraph" w:customStyle="1" w:styleId="xLevel5">
    <w:name w:val="xLevel 5"/>
    <w:basedOn w:val="Normal"/>
    <w:rsid w:val="00B82C2F"/>
    <w:pPr>
      <w:numPr>
        <w:ilvl w:val="4"/>
        <w:numId w:val="11"/>
      </w:numPr>
    </w:pPr>
  </w:style>
  <w:style w:type="paragraph" w:styleId="BodyText">
    <w:name w:val="Body Text"/>
    <w:basedOn w:val="Normal"/>
    <w:rsid w:val="00AC13ED"/>
    <w:pPr>
      <w:spacing w:before="200" w:after="20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
    <w:name w:val="Bulleted Text"/>
    <w:basedOn w:val="Normal"/>
    <w:rsid w:val="008C1811"/>
    <w:pPr>
      <w:numPr>
        <w:numId w:val="17"/>
      </w:numPr>
    </w:pPr>
    <w:rPr>
      <w:sz w:val="20"/>
    </w:rPr>
  </w:style>
  <w:style w:type="paragraph" w:customStyle="1" w:styleId="FooterRef">
    <w:name w:val="Footer Ref."/>
    <w:basedOn w:val="Normal"/>
    <w:rsid w:val="00F509A7"/>
    <w:pPr>
      <w:spacing w:line="200" w:lineRule="atLeast"/>
    </w:pPr>
    <w:rPr>
      <w:color w:val="003591"/>
      <w:sz w:val="14"/>
    </w:rPr>
  </w:style>
  <w:style w:type="paragraph" w:customStyle="1" w:styleId="Spacer">
    <w:name w:val="Spacer"/>
    <w:basedOn w:val="Normal"/>
    <w:rsid w:val="0009384D"/>
    <w:pPr>
      <w:spacing w:before="120" w:after="120"/>
    </w:p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D65C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D65CA"/>
    <w:rPr>
      <w:rFonts w:ascii="Tahoma" w:hAnsi="Tahoma" w:cs="Tahoma"/>
      <w:sz w:val="16"/>
      <w:szCs w:val="16"/>
      <w:lang w:eastAsia="ja-JP"/>
    </w:rPr>
  </w:style>
  <w:style w:type="character" w:styleId="Hyperlink">
    <w:name w:val="Hyperlink"/>
    <w:basedOn w:val="DefaultParagraphFont"/>
    <w:uiPriority w:val="99"/>
    <w:unhideWhenUsed/>
    <w:rsid w:val="00731349"/>
    <w:rPr>
      <w:color w:val="0000FF"/>
      <w:u w:val="single"/>
    </w:rPr>
  </w:style>
  <w:style w:type="paragraph" w:styleId="ListParagraph">
    <w:name w:val="List Paragraph"/>
    <w:basedOn w:val="Normal"/>
    <w:uiPriority w:val="34"/>
    <w:rsid w:val="00731349"/>
    <w:pPr>
      <w:spacing w:line="240" w:lineRule="auto"/>
      <w:ind w:left="720"/>
      <w:contextualSpacing/>
    </w:pPr>
    <w:rPr>
      <w:rFonts w:eastAsiaTheme="minorEastAsia" w:cstheme="minorBidi"/>
      <w:lang w:eastAsia="en-US"/>
    </w:rPr>
  </w:style>
  <w:style w:type="character" w:styleId="CommentReference">
    <w:name w:val="annotation reference"/>
    <w:basedOn w:val="DefaultParagraphFont"/>
    <w:rsid w:val="00171E65"/>
    <w:rPr>
      <w:sz w:val="16"/>
      <w:szCs w:val="16"/>
    </w:rPr>
  </w:style>
  <w:style w:type="paragraph" w:styleId="CommentText">
    <w:name w:val="annotation text"/>
    <w:basedOn w:val="Normal"/>
    <w:link w:val="CommentTextChar"/>
    <w:rsid w:val="00171E65"/>
    <w:pPr>
      <w:spacing w:line="240" w:lineRule="auto"/>
    </w:pPr>
    <w:rPr>
      <w:sz w:val="20"/>
      <w:szCs w:val="20"/>
    </w:rPr>
  </w:style>
  <w:style w:type="character" w:customStyle="1" w:styleId="CommentTextChar">
    <w:name w:val="Comment Text Char"/>
    <w:basedOn w:val="DefaultParagraphFont"/>
    <w:link w:val="CommentText"/>
    <w:rsid w:val="00171E65"/>
    <w:rPr>
      <w:rFonts w:ascii="Arial" w:hAnsi="Arial" w:cs="Mangal"/>
      <w:lang w:eastAsia="ja-JP"/>
    </w:rPr>
  </w:style>
  <w:style w:type="paragraph" w:styleId="CommentSubject">
    <w:name w:val="annotation subject"/>
    <w:basedOn w:val="CommentText"/>
    <w:next w:val="CommentText"/>
    <w:link w:val="CommentSubjectChar"/>
    <w:rsid w:val="00171E65"/>
    <w:rPr>
      <w:b/>
      <w:bCs/>
    </w:rPr>
  </w:style>
  <w:style w:type="character" w:customStyle="1" w:styleId="CommentSubjectChar">
    <w:name w:val="Comment Subject Char"/>
    <w:basedOn w:val="CommentTextChar"/>
    <w:link w:val="CommentSubject"/>
    <w:rsid w:val="00171E65"/>
    <w:rPr>
      <w:rFonts w:ascii="Arial" w:hAnsi="Arial" w:cs="Mangal"/>
      <w:b/>
      <w:bCs/>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13ED"/>
    <w:pPr>
      <w:spacing w:line="28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B82C2F"/>
    <w:pPr>
      <w:keepNext/>
      <w:outlineLvl w:val="2"/>
    </w:pPr>
    <w:rPr>
      <w:rFonts w:ascii="Arial Bold" w:hAnsi="Arial Bold"/>
      <w:b/>
      <w:bCs/>
      <w:color w:val="0086CB"/>
      <w:szCs w:val="26"/>
    </w:rPr>
  </w:style>
  <w:style w:type="paragraph" w:styleId="Heading4">
    <w:name w:val="heading 4"/>
    <w:basedOn w:val="Normal"/>
    <w:next w:val="Normal"/>
    <w:qFormat/>
    <w:rsid w:val="00B82C2F"/>
    <w:pPr>
      <w:keepNext/>
      <w:outlineLvl w:val="3"/>
    </w:pPr>
    <w:rPr>
      <w:rFonts w:ascii="Arial Bold" w:hAnsi="Arial Bold"/>
      <w:b/>
      <w:bCs/>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customStyle="1" w:styleId="DayTime">
    <w:name w:val="Day &amp; Time"/>
    <w:basedOn w:val="Normal"/>
    <w:rsid w:val="00AC13ED"/>
    <w:pPr>
      <w:spacing w:after="400"/>
    </w:pPr>
  </w:style>
  <w:style w:type="paragraph" w:customStyle="1" w:styleId="NumberedText">
    <w:name w:val="Numbered Text"/>
    <w:basedOn w:val="Normal"/>
    <w:rsid w:val="00AC13ED"/>
    <w:pPr>
      <w:numPr>
        <w:numId w:val="11"/>
      </w:numPr>
      <w:spacing w:after="80"/>
    </w:pPr>
    <w:rPr>
      <w:b/>
    </w:rPr>
  </w:style>
  <w:style w:type="paragraph" w:customStyle="1" w:styleId="xLevel2">
    <w:name w:val="xLevel 2"/>
    <w:basedOn w:val="Normal"/>
    <w:rsid w:val="0009384D"/>
    <w:pPr>
      <w:numPr>
        <w:ilvl w:val="1"/>
        <w:numId w:val="11"/>
      </w:numPr>
      <w:spacing w:after="120"/>
    </w:pPr>
  </w:style>
  <w:style w:type="paragraph" w:customStyle="1" w:styleId="xLevel3">
    <w:name w:val="xLevel 3"/>
    <w:basedOn w:val="Normal"/>
    <w:rsid w:val="00B82C2F"/>
    <w:pPr>
      <w:numPr>
        <w:ilvl w:val="2"/>
        <w:numId w:val="11"/>
      </w:numPr>
    </w:pPr>
  </w:style>
  <w:style w:type="paragraph" w:customStyle="1" w:styleId="xLevel4">
    <w:name w:val="xLevel 4"/>
    <w:basedOn w:val="Normal"/>
    <w:rsid w:val="00B82C2F"/>
    <w:pPr>
      <w:numPr>
        <w:ilvl w:val="3"/>
        <w:numId w:val="11"/>
      </w:numPr>
    </w:pPr>
  </w:style>
  <w:style w:type="paragraph" w:customStyle="1" w:styleId="xLevel5">
    <w:name w:val="xLevel 5"/>
    <w:basedOn w:val="Normal"/>
    <w:rsid w:val="00B82C2F"/>
    <w:pPr>
      <w:numPr>
        <w:ilvl w:val="4"/>
        <w:numId w:val="11"/>
      </w:numPr>
    </w:pPr>
  </w:style>
  <w:style w:type="paragraph" w:styleId="BodyText">
    <w:name w:val="Body Text"/>
    <w:basedOn w:val="Normal"/>
    <w:rsid w:val="00AC13ED"/>
    <w:pPr>
      <w:spacing w:before="200" w:after="20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
    <w:name w:val="Bulleted Text"/>
    <w:basedOn w:val="Normal"/>
    <w:rsid w:val="008C1811"/>
    <w:pPr>
      <w:numPr>
        <w:numId w:val="17"/>
      </w:numPr>
    </w:pPr>
    <w:rPr>
      <w:sz w:val="20"/>
    </w:rPr>
  </w:style>
  <w:style w:type="paragraph" w:customStyle="1" w:styleId="FooterRef">
    <w:name w:val="Footer Ref."/>
    <w:basedOn w:val="Normal"/>
    <w:rsid w:val="00F509A7"/>
    <w:pPr>
      <w:spacing w:line="200" w:lineRule="atLeast"/>
    </w:pPr>
    <w:rPr>
      <w:color w:val="003591"/>
      <w:sz w:val="14"/>
    </w:rPr>
  </w:style>
  <w:style w:type="paragraph" w:customStyle="1" w:styleId="Spacer">
    <w:name w:val="Spacer"/>
    <w:basedOn w:val="Normal"/>
    <w:rsid w:val="0009384D"/>
    <w:pPr>
      <w:spacing w:before="120" w:after="120"/>
    </w:p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D65C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D65CA"/>
    <w:rPr>
      <w:rFonts w:ascii="Tahoma" w:hAnsi="Tahoma" w:cs="Tahoma"/>
      <w:sz w:val="16"/>
      <w:szCs w:val="16"/>
      <w:lang w:eastAsia="ja-JP"/>
    </w:rPr>
  </w:style>
  <w:style w:type="character" w:styleId="Hyperlink">
    <w:name w:val="Hyperlink"/>
    <w:basedOn w:val="DefaultParagraphFont"/>
    <w:uiPriority w:val="99"/>
    <w:unhideWhenUsed/>
    <w:rsid w:val="00731349"/>
    <w:rPr>
      <w:color w:val="0000FF"/>
      <w:u w:val="single"/>
    </w:rPr>
  </w:style>
  <w:style w:type="paragraph" w:styleId="ListParagraph">
    <w:name w:val="List Paragraph"/>
    <w:basedOn w:val="Normal"/>
    <w:uiPriority w:val="34"/>
    <w:rsid w:val="00731349"/>
    <w:pPr>
      <w:spacing w:line="240" w:lineRule="auto"/>
      <w:ind w:left="720"/>
      <w:contextualSpacing/>
    </w:pPr>
    <w:rPr>
      <w:rFonts w:eastAsiaTheme="minorEastAsia" w:cstheme="minorBidi"/>
      <w:lang w:eastAsia="en-US"/>
    </w:rPr>
  </w:style>
  <w:style w:type="character" w:styleId="CommentReference">
    <w:name w:val="annotation reference"/>
    <w:basedOn w:val="DefaultParagraphFont"/>
    <w:rsid w:val="00171E65"/>
    <w:rPr>
      <w:sz w:val="16"/>
      <w:szCs w:val="16"/>
    </w:rPr>
  </w:style>
  <w:style w:type="paragraph" w:styleId="CommentText">
    <w:name w:val="annotation text"/>
    <w:basedOn w:val="Normal"/>
    <w:link w:val="CommentTextChar"/>
    <w:rsid w:val="00171E65"/>
    <w:pPr>
      <w:spacing w:line="240" w:lineRule="auto"/>
    </w:pPr>
    <w:rPr>
      <w:sz w:val="20"/>
      <w:szCs w:val="20"/>
    </w:rPr>
  </w:style>
  <w:style w:type="character" w:customStyle="1" w:styleId="CommentTextChar">
    <w:name w:val="Comment Text Char"/>
    <w:basedOn w:val="DefaultParagraphFont"/>
    <w:link w:val="CommentText"/>
    <w:rsid w:val="00171E65"/>
    <w:rPr>
      <w:rFonts w:ascii="Arial" w:hAnsi="Arial" w:cs="Mangal"/>
      <w:lang w:eastAsia="ja-JP"/>
    </w:rPr>
  </w:style>
  <w:style w:type="paragraph" w:styleId="CommentSubject">
    <w:name w:val="annotation subject"/>
    <w:basedOn w:val="CommentText"/>
    <w:next w:val="CommentText"/>
    <w:link w:val="CommentSubjectChar"/>
    <w:rsid w:val="00171E65"/>
    <w:rPr>
      <w:b/>
      <w:bCs/>
    </w:rPr>
  </w:style>
  <w:style w:type="character" w:customStyle="1" w:styleId="CommentSubjectChar">
    <w:name w:val="Comment Subject Char"/>
    <w:basedOn w:val="CommentTextChar"/>
    <w:link w:val="CommentSubject"/>
    <w:rsid w:val="00171E65"/>
    <w:rPr>
      <w:rFonts w:ascii="Arial" w:hAnsi="Arial" w:cs="Mang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767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linore.lightbody@tennisscotland.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dy.barnes@lta.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ah.hylton@lta.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hil.newbury@lta.org.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hris.peet@lta.org.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arketing%20Media:LTA:LTA:Launch%20Day:I.T%20:Digital%20Templates:Footers:LTA_2019_Footers_LANDSCAPE.jpg"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arketing%20Media:LTA:LTA:Launch%20Day:I.T%20:Digital%20Templates:Footers:LTA_2019_Footers_LANDSCAPE.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barnes\AppData\Roaming\Microsoft\Templates\LTA%20Agenda\LTA_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8C815-4CF2-4590-927F-37195295A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LTA_Agenda</Template>
  <TotalTime>0</TotalTime>
  <Pages>3</Pages>
  <Words>1072</Words>
  <Characters>5950</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LTA</vt:lpstr>
    </vt:vector>
  </TitlesOfParts>
  <Company>LTA</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Andy Barnes</dc:creator>
  <cp:lastModifiedBy>Imogen Harry</cp:lastModifiedBy>
  <cp:revision>2</cp:revision>
  <dcterms:created xsi:type="dcterms:W3CDTF">2019-07-10T09:59:00Z</dcterms:created>
  <dcterms:modified xsi:type="dcterms:W3CDTF">2019-07-10T09:59:00Z</dcterms:modified>
</cp:coreProperties>
</file>